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Mar>
          <w:left w:w="0" w:type="dxa"/>
          <w:right w:w="0" w:type="dxa"/>
        </w:tblCellMar>
        <w:tblLook w:val="0000" w:firstRow="0" w:lastRow="0" w:firstColumn="0" w:lastColumn="0" w:noHBand="0" w:noVBand="0"/>
      </w:tblPr>
      <w:tblGrid>
        <w:gridCol w:w="4877"/>
        <w:gridCol w:w="9695"/>
      </w:tblGrid>
      <w:tr w:rsidR="004D7A05" w:rsidRPr="00AA0F46" w:rsidTr="00AA0F46">
        <w:trPr>
          <w:trHeight w:val="981"/>
        </w:trPr>
        <w:tc>
          <w:tcPr>
            <w:tcW w:w="4918" w:type="dxa"/>
            <w:tcMar>
              <w:top w:w="0" w:type="dxa"/>
              <w:left w:w="108" w:type="dxa"/>
              <w:bottom w:w="0" w:type="dxa"/>
              <w:right w:w="108" w:type="dxa"/>
            </w:tcMar>
          </w:tcPr>
          <w:p w:rsidR="004D7A05" w:rsidRPr="00AA0F46" w:rsidRDefault="0069294B" w:rsidP="0022442C">
            <w:pPr>
              <w:spacing w:before="100" w:beforeAutospacing="1" w:after="120"/>
              <w:jc w:val="center"/>
              <w:rPr>
                <w:sz w:val="26"/>
                <w:szCs w:val="26"/>
              </w:rPr>
            </w:pPr>
            <w:r w:rsidRPr="00AA0F46">
              <w:rPr>
                <w:bCs/>
                <w:noProof/>
                <w:sz w:val="26"/>
                <w:szCs w:val="26"/>
              </w:rPr>
              <mc:AlternateContent>
                <mc:Choice Requires="wps">
                  <w:drawing>
                    <wp:anchor distT="0" distB="0" distL="114300" distR="114300" simplePos="0" relativeHeight="251657216" behindDoc="0" locked="0" layoutInCell="1" allowOverlap="1">
                      <wp:simplePos x="0" y="0"/>
                      <wp:positionH relativeFrom="column">
                        <wp:posOffset>1101090</wp:posOffset>
                      </wp:positionH>
                      <wp:positionV relativeFrom="paragraph">
                        <wp:posOffset>403860</wp:posOffset>
                      </wp:positionV>
                      <wp:extent cx="657225" cy="0"/>
                      <wp:effectExtent l="11430" t="9525" r="7620" b="952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44A45278" id="_x0000_t32" coordsize="21600,21600" o:spt="32" o:oned="t" path="m,l21600,21600e" filled="f">
                      <v:path arrowok="t" fillok="f" o:connecttype="none"/>
                      <o:lock v:ext="edit" shapetype="t"/>
                    </v:shapetype>
                    <v:shape id="AutoShape 2" o:spid="_x0000_s1026" type="#_x0000_t32" style="position:absolute;margin-left:86.7pt;margin-top:31.8pt;width:51.7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"/>
                  </w:pict>
                </mc:Fallback>
              </mc:AlternateContent>
            </w:r>
            <w:r w:rsidR="0022442C" w:rsidRPr="00AA0F46">
              <w:rPr>
                <w:bCs/>
                <w:sz w:val="26"/>
                <w:szCs w:val="26"/>
              </w:rPr>
              <w:t>UBND T</w:t>
            </w:r>
            <w:r w:rsidR="00FE39B4" w:rsidRPr="00AA0F46">
              <w:rPr>
                <w:bCs/>
                <w:sz w:val="26"/>
                <w:szCs w:val="26"/>
              </w:rPr>
              <w:t>ỈNH ĐỒNG THÁP</w:t>
            </w:r>
            <w:r w:rsidR="004D7A05" w:rsidRPr="00AA0F46">
              <w:rPr>
                <w:b/>
                <w:bCs/>
                <w:sz w:val="26"/>
                <w:szCs w:val="26"/>
              </w:rPr>
              <w:br/>
            </w:r>
            <w:r w:rsidR="0022442C" w:rsidRPr="00AA0F46">
              <w:rPr>
                <w:b/>
                <w:bCs/>
                <w:sz w:val="26"/>
                <w:szCs w:val="26"/>
              </w:rPr>
              <w:t>SỞ GIAO THÔNG VẬN TẢI</w:t>
            </w:r>
            <w:r w:rsidR="004D7A05" w:rsidRPr="00AA0F46">
              <w:rPr>
                <w:b/>
                <w:bCs/>
                <w:sz w:val="26"/>
                <w:szCs w:val="26"/>
              </w:rPr>
              <w:br/>
            </w:r>
          </w:p>
        </w:tc>
        <w:tc>
          <w:tcPr>
            <w:tcW w:w="9791" w:type="dxa"/>
            <w:tcMar>
              <w:top w:w="0" w:type="dxa"/>
              <w:left w:w="108" w:type="dxa"/>
              <w:bottom w:w="0" w:type="dxa"/>
              <w:right w:w="108" w:type="dxa"/>
            </w:tcMar>
          </w:tcPr>
          <w:p w:rsidR="004D7A05" w:rsidRPr="00AA0F46" w:rsidRDefault="0069294B" w:rsidP="00A81657">
            <w:pPr>
              <w:spacing w:before="100" w:beforeAutospacing="1" w:after="120"/>
              <w:jc w:val="center"/>
            </w:pPr>
            <w:r w:rsidRPr="00AA0F46">
              <w:rPr>
                <w:b/>
                <w:bCs/>
                <w:noProof/>
                <w:sz w:val="26"/>
                <w:szCs w:val="26"/>
              </w:rPr>
              <mc:AlternateContent>
                <mc:Choice Requires="wps">
                  <w:drawing>
                    <wp:anchor distT="0" distB="0" distL="114300" distR="114300" simplePos="0" relativeHeight="251658240" behindDoc="0" locked="0" layoutInCell="1" allowOverlap="1">
                      <wp:simplePos x="0" y="0"/>
                      <wp:positionH relativeFrom="column">
                        <wp:posOffset>1925320</wp:posOffset>
                      </wp:positionH>
                      <wp:positionV relativeFrom="paragraph">
                        <wp:posOffset>409575</wp:posOffset>
                      </wp:positionV>
                      <wp:extent cx="2133600" cy="0"/>
                      <wp:effectExtent l="5715" t="5715" r="13335" b="13335"/>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528B8CA6"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6pt,32.25pt" to="319.6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31k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"/>
                  </w:pict>
                </mc:Fallback>
              </mc:AlternateContent>
            </w:r>
            <w:r w:rsidR="004D7A05" w:rsidRPr="00AA0F46">
              <w:rPr>
                <w:b/>
                <w:bCs/>
                <w:sz w:val="26"/>
                <w:szCs w:val="26"/>
              </w:rPr>
              <w:t>CỘNG HÒA XÃ HỘI CHỦ NGHĨA VIỆT NAM</w:t>
            </w:r>
            <w:r w:rsidR="004D7A05" w:rsidRPr="00AA0F46">
              <w:rPr>
                <w:b/>
                <w:bCs/>
              </w:rPr>
              <w:br/>
            </w:r>
            <w:r w:rsidR="004D7A05" w:rsidRPr="00AA0F46">
              <w:rPr>
                <w:b/>
                <w:bCs/>
                <w:sz w:val="28"/>
                <w:szCs w:val="28"/>
              </w:rPr>
              <w:t>Độc lập - Tự do - Hạnh phúc</w:t>
            </w:r>
            <w:r w:rsidR="004D7A05" w:rsidRPr="00AA0F46">
              <w:rPr>
                <w:rStyle w:val="apple-converted-space"/>
                <w:b/>
                <w:bCs/>
              </w:rPr>
              <w:t> </w:t>
            </w:r>
            <w:r w:rsidR="004D7A05" w:rsidRPr="00AA0F46">
              <w:rPr>
                <w:b/>
                <w:bCs/>
              </w:rPr>
              <w:br/>
            </w:r>
          </w:p>
        </w:tc>
      </w:tr>
    </w:tbl>
    <w:p w:rsidR="001325E0" w:rsidRPr="00AA0F46" w:rsidRDefault="001325E0"/>
    <w:p w:rsidR="006E268B" w:rsidRPr="00AA0F46" w:rsidRDefault="004D7A05" w:rsidP="006E268B">
      <w:pPr>
        <w:ind w:left="1304" w:right="1304"/>
        <w:jc w:val="center"/>
        <w:rPr>
          <w:b/>
          <w:sz w:val="28"/>
          <w:szCs w:val="28"/>
        </w:rPr>
      </w:pPr>
      <w:r w:rsidRPr="00AA0F46">
        <w:rPr>
          <w:b/>
          <w:sz w:val="28"/>
          <w:szCs w:val="28"/>
        </w:rPr>
        <w:t xml:space="preserve">BẢNG TỔNG HỢP Ý KIẾN GÓP Ý </w:t>
      </w:r>
    </w:p>
    <w:p w:rsidR="004D7A05" w:rsidRPr="00216810" w:rsidRDefault="003F042E" w:rsidP="006E268B">
      <w:pPr>
        <w:spacing w:before="120"/>
        <w:jc w:val="center"/>
        <w:rPr>
          <w:i/>
          <w:sz w:val="28"/>
          <w:szCs w:val="28"/>
        </w:rPr>
      </w:pPr>
      <w:r>
        <w:rPr>
          <w:i/>
          <w:sz w:val="28"/>
          <w:szCs w:val="28"/>
        </w:rPr>
        <w:t xml:space="preserve"> </w:t>
      </w:r>
      <w:r w:rsidR="00AF4984">
        <w:rPr>
          <w:i/>
          <w:sz w:val="28"/>
          <w:szCs w:val="28"/>
        </w:rPr>
        <w:t xml:space="preserve">(Kèm theo </w:t>
      </w:r>
      <w:r w:rsidR="008B4552">
        <w:rPr>
          <w:i/>
          <w:sz w:val="28"/>
          <w:szCs w:val="28"/>
        </w:rPr>
        <w:t>Công văn</w:t>
      </w:r>
      <w:r w:rsidR="00F00040">
        <w:rPr>
          <w:i/>
          <w:sz w:val="28"/>
          <w:szCs w:val="28"/>
        </w:rPr>
        <w:t xml:space="preserve"> </w:t>
      </w:r>
      <w:r w:rsidR="00CD0B02">
        <w:rPr>
          <w:i/>
          <w:sz w:val="28"/>
          <w:szCs w:val="28"/>
        </w:rPr>
        <w:t>số 1944</w:t>
      </w:r>
      <w:r w:rsidR="002E7E93">
        <w:rPr>
          <w:i/>
          <w:sz w:val="28"/>
          <w:szCs w:val="28"/>
        </w:rPr>
        <w:t>/</w:t>
      </w:r>
      <w:r w:rsidR="00970AD6" w:rsidRPr="00970AD6">
        <w:rPr>
          <w:i/>
          <w:sz w:val="28"/>
          <w:szCs w:val="28"/>
        </w:rPr>
        <w:t xml:space="preserve"> </w:t>
      </w:r>
      <w:r w:rsidR="00970AD6">
        <w:rPr>
          <w:i/>
          <w:sz w:val="28"/>
          <w:szCs w:val="28"/>
        </w:rPr>
        <w:t xml:space="preserve">SGTVT-VTPT&amp;NL </w:t>
      </w:r>
      <w:r w:rsidR="007753D0">
        <w:rPr>
          <w:i/>
          <w:sz w:val="28"/>
          <w:szCs w:val="28"/>
        </w:rPr>
        <w:t xml:space="preserve">ngày </w:t>
      </w:r>
      <w:r w:rsidR="00CD0B02">
        <w:rPr>
          <w:i/>
          <w:sz w:val="28"/>
          <w:szCs w:val="28"/>
        </w:rPr>
        <w:t>12</w:t>
      </w:r>
      <w:r w:rsidR="007753D0">
        <w:rPr>
          <w:i/>
          <w:sz w:val="28"/>
          <w:szCs w:val="28"/>
        </w:rPr>
        <w:t>/</w:t>
      </w:r>
      <w:r w:rsidR="00CD0B02">
        <w:rPr>
          <w:i/>
          <w:sz w:val="28"/>
          <w:szCs w:val="28"/>
        </w:rPr>
        <w:t>9</w:t>
      </w:r>
      <w:bookmarkStart w:id="0" w:name="_GoBack"/>
      <w:bookmarkEnd w:id="0"/>
      <w:r w:rsidR="00F00040">
        <w:rPr>
          <w:i/>
          <w:sz w:val="28"/>
          <w:szCs w:val="28"/>
        </w:rPr>
        <w:t>/202</w:t>
      </w:r>
      <w:r w:rsidR="002E7E93">
        <w:rPr>
          <w:i/>
          <w:sz w:val="28"/>
          <w:szCs w:val="28"/>
        </w:rPr>
        <w:t>4</w:t>
      </w:r>
      <w:r w:rsidR="00216810" w:rsidRPr="00216810">
        <w:rPr>
          <w:i/>
          <w:sz w:val="28"/>
          <w:szCs w:val="28"/>
        </w:rPr>
        <w:t xml:space="preserve"> của Sở </w:t>
      </w:r>
      <w:r>
        <w:rPr>
          <w:i/>
          <w:sz w:val="28"/>
          <w:szCs w:val="28"/>
        </w:rPr>
        <w:t>GTVT</w:t>
      </w:r>
      <w:r w:rsidR="00216810" w:rsidRPr="00216810">
        <w:rPr>
          <w:i/>
          <w:sz w:val="28"/>
          <w:szCs w:val="28"/>
        </w:rPr>
        <w:t xml:space="preserve"> Đồng Tháp)</w:t>
      </w:r>
      <w:r w:rsidR="006E268B" w:rsidRPr="00216810">
        <w:rPr>
          <w:i/>
          <w:sz w:val="28"/>
          <w:szCs w:val="28"/>
        </w:rPr>
        <w:t xml:space="preserve"> </w:t>
      </w:r>
    </w:p>
    <w:p w:rsidR="004D7A05" w:rsidRPr="00AA0F46" w:rsidRDefault="004D7A05">
      <w:pPr>
        <w:rPr>
          <w:sz w:val="28"/>
          <w:szCs w:val="28"/>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2"/>
        <w:gridCol w:w="3634"/>
        <w:gridCol w:w="7047"/>
        <w:gridCol w:w="2268"/>
      </w:tblGrid>
      <w:tr w:rsidR="00D301D3" w:rsidRPr="00054079" w:rsidTr="00D301D3">
        <w:trPr>
          <w:tblHeader/>
        </w:trPr>
        <w:tc>
          <w:tcPr>
            <w:tcW w:w="1652" w:type="dxa"/>
            <w:vAlign w:val="center"/>
          </w:tcPr>
          <w:p w:rsidR="00D301D3" w:rsidRPr="00BB1E60" w:rsidRDefault="00D301D3" w:rsidP="00D301D3">
            <w:pPr>
              <w:spacing w:before="60" w:after="60"/>
              <w:jc w:val="center"/>
              <w:rPr>
                <w:b/>
                <w:sz w:val="28"/>
                <w:szCs w:val="28"/>
              </w:rPr>
            </w:pPr>
            <w:r w:rsidRPr="00BB1E60">
              <w:rPr>
                <w:b/>
                <w:sz w:val="28"/>
                <w:szCs w:val="28"/>
              </w:rPr>
              <w:t>STT</w:t>
            </w:r>
          </w:p>
        </w:tc>
        <w:tc>
          <w:tcPr>
            <w:tcW w:w="3634" w:type="dxa"/>
            <w:vAlign w:val="center"/>
          </w:tcPr>
          <w:p w:rsidR="00D301D3" w:rsidRPr="00BB1E60" w:rsidRDefault="00D301D3" w:rsidP="00D301D3">
            <w:pPr>
              <w:spacing w:before="60" w:after="60"/>
              <w:jc w:val="center"/>
              <w:rPr>
                <w:b/>
                <w:sz w:val="28"/>
                <w:szCs w:val="28"/>
              </w:rPr>
            </w:pPr>
            <w:r w:rsidRPr="00BB1E60">
              <w:rPr>
                <w:b/>
                <w:sz w:val="28"/>
                <w:szCs w:val="28"/>
              </w:rPr>
              <w:t>Tại Điều, Khoản của dự thảo (trước khi lấy ý kiến)</w:t>
            </w:r>
          </w:p>
        </w:tc>
        <w:tc>
          <w:tcPr>
            <w:tcW w:w="7047" w:type="dxa"/>
            <w:vAlign w:val="center"/>
          </w:tcPr>
          <w:p w:rsidR="00D301D3" w:rsidRPr="00BB1E60" w:rsidRDefault="00D301D3" w:rsidP="00D301D3">
            <w:pPr>
              <w:spacing w:before="60" w:after="60"/>
              <w:jc w:val="center"/>
              <w:rPr>
                <w:b/>
                <w:sz w:val="28"/>
                <w:szCs w:val="28"/>
              </w:rPr>
            </w:pPr>
            <w:r w:rsidRPr="00BB1E60">
              <w:rPr>
                <w:b/>
                <w:sz w:val="28"/>
                <w:szCs w:val="28"/>
              </w:rPr>
              <w:t>Nội dung góp ý</w:t>
            </w:r>
          </w:p>
        </w:tc>
        <w:tc>
          <w:tcPr>
            <w:tcW w:w="2268" w:type="dxa"/>
            <w:vAlign w:val="center"/>
          </w:tcPr>
          <w:p w:rsidR="00D301D3" w:rsidRPr="00BB1E60" w:rsidRDefault="00D301D3" w:rsidP="00D301D3">
            <w:pPr>
              <w:spacing w:before="60" w:after="60"/>
              <w:jc w:val="center"/>
              <w:rPr>
                <w:b/>
                <w:sz w:val="28"/>
                <w:szCs w:val="28"/>
              </w:rPr>
            </w:pPr>
            <w:r w:rsidRPr="00BB1E60">
              <w:rPr>
                <w:b/>
                <w:sz w:val="28"/>
                <w:szCs w:val="28"/>
              </w:rPr>
              <w:t>Tiếp thu góp ý</w:t>
            </w:r>
          </w:p>
        </w:tc>
      </w:tr>
      <w:tr w:rsidR="00492912" w:rsidRPr="00054079" w:rsidTr="00D301D3">
        <w:tc>
          <w:tcPr>
            <w:tcW w:w="14601" w:type="dxa"/>
            <w:gridSpan w:val="4"/>
            <w:vAlign w:val="center"/>
          </w:tcPr>
          <w:p w:rsidR="00492912" w:rsidRPr="00BB1E60" w:rsidRDefault="00F702EA" w:rsidP="00D301D3">
            <w:pPr>
              <w:spacing w:before="60" w:after="60"/>
              <w:jc w:val="both"/>
              <w:rPr>
                <w:b/>
                <w:sz w:val="28"/>
                <w:szCs w:val="28"/>
              </w:rPr>
            </w:pPr>
            <w:r>
              <w:rPr>
                <w:b/>
                <w:sz w:val="28"/>
                <w:szCs w:val="28"/>
              </w:rPr>
              <w:t>Sở Tư pháp (Công văn số 1826/STP-XD&amp;KTVBQPPL ngày 01/10/2024)</w:t>
            </w:r>
          </w:p>
        </w:tc>
      </w:tr>
      <w:tr w:rsidR="00D301D3" w:rsidRPr="00054079" w:rsidTr="00D301D3">
        <w:tc>
          <w:tcPr>
            <w:tcW w:w="1652" w:type="dxa"/>
            <w:vAlign w:val="center"/>
          </w:tcPr>
          <w:p w:rsidR="00D301D3" w:rsidRPr="00BB1E60" w:rsidRDefault="00D301D3" w:rsidP="00D301D3">
            <w:pPr>
              <w:spacing w:before="60" w:after="60"/>
              <w:jc w:val="center"/>
              <w:rPr>
                <w:sz w:val="28"/>
                <w:szCs w:val="28"/>
                <w:lang w:val="hr-HR"/>
              </w:rPr>
            </w:pPr>
            <w:r w:rsidRPr="00BB1E60">
              <w:rPr>
                <w:sz w:val="28"/>
                <w:szCs w:val="28"/>
                <w:lang w:val="hr-HR"/>
              </w:rPr>
              <w:t>1</w:t>
            </w:r>
          </w:p>
        </w:tc>
        <w:tc>
          <w:tcPr>
            <w:tcW w:w="3634" w:type="dxa"/>
            <w:vAlign w:val="center"/>
          </w:tcPr>
          <w:p w:rsidR="00D301D3" w:rsidRPr="00BA6D20" w:rsidRDefault="0097391F" w:rsidP="00D301D3">
            <w:pPr>
              <w:spacing w:before="60" w:after="60"/>
              <w:jc w:val="both"/>
              <w:rPr>
                <w:sz w:val="28"/>
                <w:szCs w:val="28"/>
                <w:lang w:val="hr-HR"/>
              </w:rPr>
            </w:pPr>
            <w:r w:rsidRPr="00BA6D20">
              <w:rPr>
                <w:sz w:val="28"/>
                <w:szCs w:val="28"/>
              </w:rPr>
              <w:t>Về thẩm quyền ban hành Quyết định</w:t>
            </w:r>
          </w:p>
        </w:tc>
        <w:tc>
          <w:tcPr>
            <w:tcW w:w="7047" w:type="dxa"/>
            <w:vAlign w:val="center"/>
          </w:tcPr>
          <w:p w:rsidR="00062429" w:rsidRPr="00A85F73" w:rsidRDefault="00062429" w:rsidP="00062429">
            <w:pPr>
              <w:spacing w:before="120" w:after="120" w:line="360" w:lineRule="exact"/>
              <w:ind w:firstLine="680"/>
              <w:rPr>
                <w:b/>
                <w:sz w:val="28"/>
                <w:szCs w:val="28"/>
              </w:rPr>
            </w:pPr>
            <w:r w:rsidRPr="00A85F73">
              <w:rPr>
                <w:b/>
                <w:sz w:val="28"/>
                <w:szCs w:val="28"/>
              </w:rPr>
              <w:t>1. Về thẩm quyền ban hành Quyết định</w:t>
            </w:r>
          </w:p>
          <w:p w:rsidR="00062429" w:rsidRPr="00A85F73" w:rsidRDefault="00062429" w:rsidP="00726868">
            <w:pPr>
              <w:spacing w:before="120" w:after="120" w:line="360" w:lineRule="exact"/>
              <w:ind w:firstLine="680"/>
              <w:jc w:val="both"/>
              <w:rPr>
                <w:rStyle w:val="fontstyle01"/>
              </w:rPr>
            </w:pPr>
            <w:r w:rsidRPr="00A85F73">
              <w:rPr>
                <w:sz w:val="28"/>
                <w:szCs w:val="28"/>
              </w:rPr>
              <w:t xml:space="preserve">- </w:t>
            </w:r>
            <w:r w:rsidRPr="00726868">
              <w:rPr>
                <w:sz w:val="28"/>
                <w:szCs w:val="28"/>
              </w:rPr>
              <w:t>T</w:t>
            </w:r>
            <w:r w:rsidRPr="00726868">
              <w:rPr>
                <w:rStyle w:val="fontstyle01"/>
                <w:i w:val="0"/>
              </w:rPr>
              <w:t xml:space="preserve">ại khoản 1, 2 Điều 14 Luật Tổ chức chính quyền địa phương năm </w:t>
            </w:r>
            <w:r w:rsidRPr="00726868">
              <w:rPr>
                <w:rStyle w:val="fontstyle01"/>
              </w:rPr>
              <w:t>2015 (được sửa đổi bởi khoản 7 Điều 2 Luật sửa đổi, bổ sung một số điều của Luật Tổ chức Chính phủ và Luật Tổ chức Chính quyền địa phương ngày 22 tháng 11 năm 2019)</w:t>
            </w:r>
            <w:r w:rsidRPr="00A85F73">
              <w:rPr>
                <w:rStyle w:val="fontstyle01"/>
              </w:rPr>
              <w:t xml:space="preserve">, </w:t>
            </w:r>
            <w:r w:rsidRPr="00726868">
              <w:rPr>
                <w:rStyle w:val="fontstyle01"/>
                <w:i w:val="0"/>
              </w:rPr>
              <w:t>quy định như sau:</w:t>
            </w:r>
            <w:r w:rsidRPr="00A85F73">
              <w:rPr>
                <w:rStyle w:val="fontstyle01"/>
              </w:rPr>
              <w:t xml:space="preserve"> </w:t>
            </w:r>
          </w:p>
          <w:p w:rsidR="00062429" w:rsidRPr="00A85F73" w:rsidRDefault="00062429" w:rsidP="00062429">
            <w:pPr>
              <w:pStyle w:val="NormalWeb"/>
              <w:shd w:val="clear" w:color="auto" w:fill="FFFFFF"/>
              <w:spacing w:before="120" w:beforeAutospacing="0" w:after="120" w:afterAutospacing="0" w:line="360" w:lineRule="exact"/>
              <w:ind w:firstLine="680"/>
              <w:jc w:val="both"/>
              <w:rPr>
                <w:i/>
                <w:color w:val="000000"/>
                <w:sz w:val="28"/>
                <w:szCs w:val="28"/>
              </w:rPr>
            </w:pPr>
            <w:r w:rsidRPr="00A85F73">
              <w:rPr>
                <w:rStyle w:val="fontstyle01"/>
                <w:i w:val="0"/>
              </w:rPr>
              <w:t>“</w:t>
            </w:r>
            <w:r w:rsidRPr="00A85F73">
              <w:rPr>
                <w:i/>
                <w:color w:val="000000"/>
                <w:sz w:val="28"/>
                <w:szCs w:val="28"/>
              </w:rPr>
              <w:t>7. Sửa đổi, bổ sung khoản 1 và khoản 2 Điều 14 như sau:</w:t>
            </w:r>
          </w:p>
          <w:p w:rsidR="00062429" w:rsidRPr="00A85F73" w:rsidRDefault="00062429" w:rsidP="00062429">
            <w:pPr>
              <w:pStyle w:val="NormalWeb"/>
              <w:shd w:val="clear" w:color="auto" w:fill="FFFFFF"/>
              <w:spacing w:before="120" w:beforeAutospacing="0" w:after="120" w:afterAutospacing="0" w:line="360" w:lineRule="exact"/>
              <w:ind w:firstLine="680"/>
              <w:jc w:val="both"/>
              <w:rPr>
                <w:i/>
                <w:color w:val="000000"/>
                <w:sz w:val="28"/>
                <w:szCs w:val="28"/>
              </w:rPr>
            </w:pPr>
            <w:r w:rsidRPr="00A85F73">
              <w:rPr>
                <w:i/>
                <w:color w:val="000000"/>
                <w:sz w:val="28"/>
                <w:szCs w:val="28"/>
              </w:rPr>
              <w:t xml:space="preserve">“1. Trong trường hợp cần thiết, trừ trường hợp quy định tại khoản 1 Điều 12 của Luật này, cơ quan hành chính nhà nước cấp trên có thể ủy quyền cho Ủy ban nhân dân cấp dưới trực tiếp, </w:t>
            </w:r>
            <w:r w:rsidRPr="00571B72">
              <w:rPr>
                <w:b/>
                <w:i/>
                <w:color w:val="000000"/>
                <w:sz w:val="28"/>
                <w:szCs w:val="28"/>
              </w:rPr>
              <w:t>Ủy ban nhân dân có thể ủy quyền cho cơ quan chuyên môn thuộc Ủy ban nhân dân cùng cấp</w:t>
            </w:r>
            <w:r w:rsidRPr="00A85F73">
              <w:rPr>
                <w:i/>
                <w:color w:val="000000"/>
                <w:sz w:val="28"/>
                <w:szCs w:val="28"/>
              </w:rPr>
              <w:t xml:space="preserve"> hoặc đơn vị sự nghiệp công lập trực thuộc, Chủ tịch Ủy ban nhân dân có thể ủy quyền cho Phó Chủ tịch Ủy ban nhân dân cùng </w:t>
            </w:r>
            <w:r w:rsidRPr="00A85F73">
              <w:rPr>
                <w:i/>
                <w:color w:val="000000"/>
                <w:sz w:val="28"/>
                <w:szCs w:val="28"/>
              </w:rPr>
              <w:lastRenderedPageBreak/>
              <w:t xml:space="preserve">cấp, người đứng đầu cơ quan chuyên môn thuộc Ủy ban nhân dân cùng cấp, Chủ tịch Ủy ban nhân dân cấp dưới trực tiếp thực hiện một hoặc </w:t>
            </w:r>
            <w:r w:rsidRPr="00571B72">
              <w:rPr>
                <w:b/>
                <w:i/>
                <w:color w:val="000000"/>
                <w:sz w:val="28"/>
                <w:szCs w:val="28"/>
              </w:rPr>
              <w:t>một số nhiệm vụ, quyền hạn của mình trong khoảng thời gian xác định kèm theo các điều kiện cụ thể</w:t>
            </w:r>
            <w:r w:rsidRPr="00A85F73">
              <w:rPr>
                <w:i/>
                <w:color w:val="000000"/>
                <w:sz w:val="28"/>
                <w:szCs w:val="28"/>
              </w:rPr>
              <w:t>. Việc ủy quyền phải được thể hiện bằng văn bản.</w:t>
            </w:r>
          </w:p>
          <w:p w:rsidR="00062429" w:rsidRPr="00A85F73" w:rsidRDefault="00062429" w:rsidP="00062429">
            <w:pPr>
              <w:pStyle w:val="NormalWeb"/>
              <w:shd w:val="clear" w:color="auto" w:fill="FFFFFF"/>
              <w:spacing w:before="120" w:beforeAutospacing="0" w:after="120" w:afterAutospacing="0" w:line="360" w:lineRule="exact"/>
              <w:ind w:firstLine="680"/>
              <w:jc w:val="both"/>
              <w:rPr>
                <w:color w:val="000000"/>
                <w:sz w:val="28"/>
                <w:szCs w:val="28"/>
              </w:rPr>
            </w:pPr>
            <w:r w:rsidRPr="00A85F73">
              <w:rPr>
                <w:i/>
                <w:color w:val="000000"/>
                <w:sz w:val="28"/>
                <w:szCs w:val="28"/>
              </w:rPr>
              <w:t>2. Việc ủy quyền quy định tại khoản 1 Điều này phải bảo đảm điều kiện về tài chính, nguồn nhân lực và các điều kiện cần thiết khác để thực hiện. Cơ quan, tổ chức, cá nhân ủy quyền có trách nhiệm hướng dẫn, kiểm tra việc thực hiện nhiệm vụ, quyền hạn đã ủy quyền và chịu trách nhiệm về kết quả thực hiện nhiệm vụ, quyền hạn mà mình đã ủy quyền.”.</w:t>
            </w:r>
          </w:p>
          <w:p w:rsidR="00062429" w:rsidRPr="00A85F73" w:rsidRDefault="00062429" w:rsidP="00062429">
            <w:pPr>
              <w:pStyle w:val="NormalWeb"/>
              <w:shd w:val="clear" w:color="auto" w:fill="FFFFFF"/>
              <w:spacing w:before="120" w:beforeAutospacing="0" w:after="120" w:afterAutospacing="0" w:line="360" w:lineRule="exact"/>
              <w:ind w:firstLine="680"/>
              <w:jc w:val="both"/>
              <w:rPr>
                <w:sz w:val="28"/>
                <w:szCs w:val="28"/>
              </w:rPr>
            </w:pPr>
            <w:r w:rsidRPr="00A85F73">
              <w:rPr>
                <w:color w:val="000000"/>
                <w:sz w:val="28"/>
                <w:szCs w:val="28"/>
              </w:rPr>
              <w:t xml:space="preserve">- Tại </w:t>
            </w:r>
            <w:r w:rsidRPr="00A85F73">
              <w:rPr>
                <w:sz w:val="28"/>
                <w:szCs w:val="28"/>
              </w:rPr>
              <w:t xml:space="preserve">khoản 13 Điều 1 Nghị định số 107/2020/NĐ-CP ngày 14 tháng 9 năm 2020 của Chính phủ sửa đổi, bổ sung một số điều của Nghị định số 24/2014/NĐ-CP ngày 04 tháng 4 năm 2014 của Chính phủ quy định tổ chức các cơ quan chuyên môn thuộc Uỷ ban nhân dân tỉnh, thành phố trực thuộc Trung ương, quy định như sau: </w:t>
            </w:r>
          </w:p>
          <w:p w:rsidR="00062429" w:rsidRPr="00A85F73" w:rsidRDefault="00062429" w:rsidP="00062429">
            <w:pPr>
              <w:pStyle w:val="NormalWeb"/>
              <w:shd w:val="clear" w:color="auto" w:fill="FFFFFF"/>
              <w:spacing w:before="120" w:beforeAutospacing="0" w:after="120" w:afterAutospacing="0" w:line="360" w:lineRule="exact"/>
              <w:ind w:firstLine="680"/>
              <w:jc w:val="both"/>
              <w:rPr>
                <w:i/>
                <w:sz w:val="28"/>
                <w:szCs w:val="28"/>
              </w:rPr>
            </w:pPr>
            <w:r w:rsidRPr="00A85F73">
              <w:rPr>
                <w:i/>
                <w:sz w:val="28"/>
                <w:szCs w:val="28"/>
              </w:rPr>
              <w:t xml:space="preserve">“13. Sửa đổi, bổ sung Điều 12 như sau: </w:t>
            </w:r>
          </w:p>
          <w:p w:rsidR="00062429" w:rsidRPr="00815AA6" w:rsidRDefault="00062429" w:rsidP="00062429">
            <w:pPr>
              <w:pStyle w:val="NormalWeb"/>
              <w:shd w:val="clear" w:color="auto" w:fill="FFFFFF"/>
              <w:spacing w:before="120" w:beforeAutospacing="0" w:after="120" w:afterAutospacing="0" w:line="360" w:lineRule="exact"/>
              <w:ind w:firstLine="680"/>
              <w:jc w:val="both"/>
              <w:rPr>
                <w:b/>
                <w:i/>
                <w:sz w:val="28"/>
                <w:szCs w:val="28"/>
              </w:rPr>
            </w:pPr>
            <w:r w:rsidRPr="00815AA6">
              <w:rPr>
                <w:b/>
                <w:i/>
                <w:sz w:val="28"/>
                <w:szCs w:val="28"/>
              </w:rPr>
              <w:t xml:space="preserve">“Điều 12. Ủy ban nhân dân cấp tỉnh </w:t>
            </w:r>
          </w:p>
          <w:p w:rsidR="00062429" w:rsidRPr="00A85F73" w:rsidRDefault="00062429" w:rsidP="00062429">
            <w:pPr>
              <w:pStyle w:val="NormalWeb"/>
              <w:shd w:val="clear" w:color="auto" w:fill="FFFFFF"/>
              <w:spacing w:before="120" w:beforeAutospacing="0" w:after="120" w:afterAutospacing="0" w:line="360" w:lineRule="exact"/>
              <w:ind w:firstLine="680"/>
              <w:jc w:val="both"/>
              <w:rPr>
                <w:i/>
                <w:sz w:val="28"/>
                <w:szCs w:val="28"/>
              </w:rPr>
            </w:pPr>
            <w:r w:rsidRPr="00A85F73">
              <w:rPr>
                <w:i/>
                <w:sz w:val="28"/>
                <w:szCs w:val="28"/>
              </w:rPr>
              <w:t xml:space="preserve">1. . . . . . . </w:t>
            </w:r>
          </w:p>
          <w:p w:rsidR="00062429" w:rsidRPr="00A85F73" w:rsidRDefault="00062429" w:rsidP="00062429">
            <w:pPr>
              <w:pStyle w:val="NormalWeb"/>
              <w:shd w:val="clear" w:color="auto" w:fill="FFFFFF"/>
              <w:spacing w:before="120" w:beforeAutospacing="0" w:after="120" w:afterAutospacing="0" w:line="360" w:lineRule="exact"/>
              <w:ind w:firstLine="680"/>
              <w:jc w:val="both"/>
              <w:rPr>
                <w:rStyle w:val="Emphasis"/>
                <w:i w:val="0"/>
                <w:sz w:val="28"/>
                <w:szCs w:val="28"/>
                <w:shd w:val="clear" w:color="auto" w:fill="FFFFFF"/>
              </w:rPr>
            </w:pPr>
            <w:r w:rsidRPr="00A85F73">
              <w:rPr>
                <w:i/>
                <w:sz w:val="28"/>
                <w:szCs w:val="28"/>
              </w:rPr>
              <w:t xml:space="preserve">4. Quyết định phân cấp cho Ủy ban nhân dân cấp huyện, phân cấp </w:t>
            </w:r>
            <w:r w:rsidRPr="00815AA6">
              <w:rPr>
                <w:b/>
                <w:i/>
                <w:sz w:val="28"/>
                <w:szCs w:val="28"/>
              </w:rPr>
              <w:t>hoặc ủy quyền cho sở</w:t>
            </w:r>
            <w:r w:rsidRPr="00A85F73">
              <w:rPr>
                <w:i/>
                <w:sz w:val="28"/>
                <w:szCs w:val="28"/>
              </w:rPr>
              <w:t xml:space="preserve"> và Giám đốc sở thực </w:t>
            </w:r>
            <w:r w:rsidRPr="00A85F73">
              <w:rPr>
                <w:i/>
                <w:sz w:val="28"/>
                <w:szCs w:val="28"/>
              </w:rPr>
              <w:lastRenderedPageBreak/>
              <w:t>hiện một hoặc một số nhiệm vụ, quyền hạn thuộc thẩm quyền của Ủy ban nhân dân cấp tỉnh theo quy định của pháp luật. . . .”.</w:t>
            </w:r>
            <w:r w:rsidRPr="00A85F73">
              <w:rPr>
                <w:sz w:val="28"/>
                <w:szCs w:val="28"/>
              </w:rPr>
              <w:t xml:space="preserve"> Đồng thời, tại khoản 4 Điều 17 Nghị định số 34/2024/NĐ-CP </w:t>
            </w:r>
            <w:r w:rsidRPr="00A85F73">
              <w:rPr>
                <w:i/>
                <w:sz w:val="28"/>
                <w:szCs w:val="28"/>
              </w:rPr>
              <w:t xml:space="preserve">ngày </w:t>
            </w:r>
            <w:r w:rsidRPr="00A85F73">
              <w:rPr>
                <w:rStyle w:val="Emphasis"/>
                <w:i w:val="0"/>
                <w:sz w:val="28"/>
                <w:szCs w:val="28"/>
                <w:shd w:val="clear" w:color="auto" w:fill="FFFFFF"/>
              </w:rPr>
              <w:t xml:space="preserve">31 tháng 3 năm 2024 của Chính phủ quy định danh mục hàng hoá nguy hiểm, vận chuyển hàng hoá nguy hiểm bằng phương tiện giao thông cơ giới đường bộ và phương tiện thuỷ nội địa, quy định như sau: </w:t>
            </w:r>
          </w:p>
          <w:p w:rsidR="00062429" w:rsidRPr="00A85F73" w:rsidRDefault="00062429" w:rsidP="00062429">
            <w:pPr>
              <w:pStyle w:val="NormalWeb"/>
              <w:shd w:val="clear" w:color="auto" w:fill="FFFFFF"/>
              <w:spacing w:before="120" w:beforeAutospacing="0" w:after="120" w:afterAutospacing="0" w:line="360" w:lineRule="exact"/>
              <w:ind w:firstLine="680"/>
              <w:jc w:val="both"/>
              <w:rPr>
                <w:color w:val="000000"/>
                <w:sz w:val="28"/>
                <w:szCs w:val="28"/>
                <w:shd w:val="clear" w:color="auto" w:fill="FFFFFF"/>
              </w:rPr>
            </w:pPr>
            <w:r w:rsidRPr="00A85F73">
              <w:rPr>
                <w:rStyle w:val="Emphasis"/>
                <w:i w:val="0"/>
                <w:sz w:val="28"/>
                <w:szCs w:val="28"/>
                <w:shd w:val="clear" w:color="auto" w:fill="FFFFFF"/>
              </w:rPr>
              <w:t>“</w:t>
            </w:r>
            <w:r w:rsidRPr="00A85F73">
              <w:rPr>
                <w:i/>
                <w:color w:val="000000"/>
                <w:sz w:val="28"/>
                <w:szCs w:val="28"/>
                <w:shd w:val="clear" w:color="auto" w:fill="FFFFFF"/>
              </w:rPr>
              <w:t>4. Ủy ban nhân dân tỉnh, thành phố trực thuộc trung ương tổ chức cấp Giấy phép vận chuyển hàng hóa nguy hiểm là hóa chất bảo vệ thực vật”.</w:t>
            </w:r>
          </w:p>
          <w:p w:rsidR="00D301D3" w:rsidRPr="00062429" w:rsidRDefault="00062429" w:rsidP="00062429">
            <w:pPr>
              <w:pStyle w:val="NormalWeb"/>
              <w:shd w:val="clear" w:color="auto" w:fill="FFFFFF"/>
              <w:spacing w:before="120" w:beforeAutospacing="0" w:after="120" w:afterAutospacing="0" w:line="360" w:lineRule="exact"/>
              <w:ind w:firstLine="680"/>
              <w:jc w:val="both"/>
              <w:rPr>
                <w:color w:val="000000"/>
                <w:sz w:val="28"/>
                <w:szCs w:val="28"/>
                <w:shd w:val="clear" w:color="auto" w:fill="FFFFFF"/>
              </w:rPr>
            </w:pPr>
            <w:r w:rsidRPr="00FA3760">
              <w:rPr>
                <w:color w:val="000000"/>
                <w:sz w:val="28"/>
                <w:szCs w:val="28"/>
                <w:u w:val="single"/>
                <w:shd w:val="clear" w:color="auto" w:fill="FFFFFF"/>
              </w:rPr>
              <w:t xml:space="preserve">Căn cứ quy định nêu trên, Sở Giao thông vận tải tham mưu Uỷ ban nhân dân Tỉnh uỷ quyền cho Sở Giao thông vận tải cấp Giấy phép vận chuyển hàng hóa nguy hiểm; </w:t>
            </w:r>
            <w:r w:rsidRPr="00FA3760">
              <w:rPr>
                <w:rFonts w:eastAsia="Calibri"/>
                <w:bCs/>
                <w:color w:val="000000"/>
                <w:sz w:val="28"/>
                <w:szCs w:val="28"/>
                <w:u w:val="single"/>
              </w:rPr>
              <w:t>điều chỉnh thông tin trên Giấy phép vận chuyển hàng hóa nguy hiểm khi có sự thay đổi liên quan đến nội dung của Giấy phép</w:t>
            </w:r>
            <w:r w:rsidRPr="00FA3760">
              <w:rPr>
                <w:rFonts w:eastAsia="Calibri"/>
                <w:sz w:val="28"/>
                <w:szCs w:val="28"/>
                <w:u w:val="single"/>
              </w:rPr>
              <w:t xml:space="preserve">; </w:t>
            </w:r>
            <w:r w:rsidRPr="00FA3760">
              <w:rPr>
                <w:rStyle w:val="fontstyle01"/>
                <w:u w:val="single"/>
              </w:rPr>
              <w:t>cấp lại Giấy phép vận chuyển hàng hóa nguy hiểm do bị mất, bị hỏng</w:t>
            </w:r>
            <w:r w:rsidRPr="00A85F73">
              <w:rPr>
                <w:rStyle w:val="fontstyle01"/>
                <w:i w:val="0"/>
              </w:rPr>
              <w:t xml:space="preserve"> </w:t>
            </w:r>
            <w:r w:rsidRPr="008971F9">
              <w:rPr>
                <w:rStyle w:val="fontstyle01"/>
                <w:b/>
                <w:i w:val="0"/>
                <w:u w:val="single"/>
              </w:rPr>
              <w:t>là có cơ sở pháp lý.</w:t>
            </w:r>
          </w:p>
        </w:tc>
        <w:tc>
          <w:tcPr>
            <w:tcW w:w="2268" w:type="dxa"/>
            <w:vAlign w:val="center"/>
          </w:tcPr>
          <w:p w:rsidR="00D301D3" w:rsidRPr="00BB1E60" w:rsidRDefault="00062429" w:rsidP="00062429">
            <w:pPr>
              <w:spacing w:before="60" w:after="60"/>
              <w:jc w:val="both"/>
              <w:rPr>
                <w:sz w:val="28"/>
                <w:szCs w:val="28"/>
                <w:lang w:val="hr-HR"/>
              </w:rPr>
            </w:pPr>
            <w:r>
              <w:rPr>
                <w:sz w:val="28"/>
                <w:szCs w:val="28"/>
                <w:lang w:val="hr-HR"/>
              </w:rPr>
              <w:lastRenderedPageBreak/>
              <w:t>Tiếp thu ý kiến góp ý</w:t>
            </w:r>
          </w:p>
        </w:tc>
      </w:tr>
      <w:tr w:rsidR="00F702EA" w:rsidRPr="00054079" w:rsidTr="00D301D3">
        <w:tc>
          <w:tcPr>
            <w:tcW w:w="1652" w:type="dxa"/>
            <w:vAlign w:val="center"/>
          </w:tcPr>
          <w:p w:rsidR="00F702EA" w:rsidRPr="00BB1E60" w:rsidRDefault="008A0409" w:rsidP="00D301D3">
            <w:pPr>
              <w:spacing w:before="60" w:after="60"/>
              <w:jc w:val="center"/>
              <w:rPr>
                <w:sz w:val="28"/>
                <w:szCs w:val="28"/>
                <w:lang w:val="hr-HR"/>
              </w:rPr>
            </w:pPr>
            <w:r>
              <w:rPr>
                <w:sz w:val="28"/>
                <w:szCs w:val="28"/>
                <w:lang w:val="hr-HR"/>
              </w:rPr>
              <w:lastRenderedPageBreak/>
              <w:t>2</w:t>
            </w:r>
          </w:p>
        </w:tc>
        <w:tc>
          <w:tcPr>
            <w:tcW w:w="3634" w:type="dxa"/>
            <w:vAlign w:val="center"/>
          </w:tcPr>
          <w:p w:rsidR="00E91C64" w:rsidRPr="00E91C64" w:rsidRDefault="00E91C64" w:rsidP="004A38A5">
            <w:pPr>
              <w:spacing w:before="60" w:after="60"/>
              <w:jc w:val="both"/>
              <w:rPr>
                <w:sz w:val="28"/>
                <w:szCs w:val="28"/>
                <w:lang w:val="hr-HR"/>
              </w:rPr>
            </w:pPr>
            <w:r w:rsidRPr="00E91C64">
              <w:rPr>
                <w:sz w:val="28"/>
                <w:szCs w:val="28"/>
              </w:rPr>
              <w:t xml:space="preserve">Căn cứ ban hành </w:t>
            </w:r>
            <w:r w:rsidR="004A38A5">
              <w:rPr>
                <w:sz w:val="28"/>
                <w:szCs w:val="28"/>
              </w:rPr>
              <w:t>Quyết định</w:t>
            </w:r>
          </w:p>
        </w:tc>
        <w:tc>
          <w:tcPr>
            <w:tcW w:w="7047" w:type="dxa"/>
            <w:vAlign w:val="center"/>
          </w:tcPr>
          <w:p w:rsidR="00390F0F" w:rsidRPr="005F36B5" w:rsidRDefault="00390F0F" w:rsidP="001B7F94">
            <w:pPr>
              <w:pStyle w:val="NormalWeb"/>
              <w:shd w:val="clear" w:color="auto" w:fill="FFFFFF"/>
              <w:spacing w:before="120" w:beforeAutospacing="0" w:after="120" w:afterAutospacing="0" w:line="360" w:lineRule="exact"/>
              <w:ind w:firstLine="680"/>
              <w:jc w:val="both"/>
              <w:rPr>
                <w:b/>
                <w:color w:val="000000"/>
                <w:sz w:val="28"/>
                <w:szCs w:val="28"/>
              </w:rPr>
            </w:pPr>
            <w:r w:rsidRPr="005F36B5">
              <w:rPr>
                <w:b/>
                <w:sz w:val="28"/>
                <w:szCs w:val="28"/>
              </w:rPr>
              <w:t>2. Về nội dung dự thảo Quyết định</w:t>
            </w:r>
          </w:p>
          <w:p w:rsidR="00390F0F" w:rsidRPr="001B7F94" w:rsidRDefault="00390F0F" w:rsidP="001B7F94">
            <w:pPr>
              <w:spacing w:before="120" w:after="120" w:line="360" w:lineRule="exact"/>
              <w:ind w:firstLine="680"/>
              <w:jc w:val="both"/>
              <w:rPr>
                <w:sz w:val="28"/>
                <w:szCs w:val="28"/>
              </w:rPr>
            </w:pPr>
            <w:r w:rsidRPr="001B7F94">
              <w:rPr>
                <w:sz w:val="28"/>
                <w:szCs w:val="28"/>
              </w:rPr>
              <w:t xml:space="preserve">- Tại điểm a khoản 6 Mục II Phần I kèm theo Nghị định số 30/2020/NĐ-CP ngày 05 tháng 3 năm 2020 của Chính phủ về công tác văn thư, quy định như sau: </w:t>
            </w:r>
          </w:p>
          <w:p w:rsidR="00390F0F" w:rsidRPr="001B7F94" w:rsidRDefault="00390F0F" w:rsidP="001B7F94">
            <w:pPr>
              <w:spacing w:before="120" w:after="120" w:line="360" w:lineRule="exact"/>
              <w:ind w:firstLine="680"/>
              <w:jc w:val="both"/>
              <w:rPr>
                <w:sz w:val="28"/>
                <w:szCs w:val="28"/>
              </w:rPr>
            </w:pPr>
            <w:r w:rsidRPr="001B7F94">
              <w:rPr>
                <w:i/>
                <w:sz w:val="28"/>
                <w:szCs w:val="28"/>
              </w:rPr>
              <w:lastRenderedPageBreak/>
              <w:t>“Căn cứ ban hành văn bản bao gồm văn bản quy định thẩm quyền, chức năng, nhiệm vụ của cơ quan, tổ chức ban hành văn bản và các văn bản quy định nội dung, cơ sở để ban hành văn bản. Căn cứ ban hành văn bản được ghi đầy đủ tên loại văn bản, số, ký hiệu, cơ quan ban hành, ngày tháng năm ban hành văn bản và trích yếu nội dung văn bản (riêng Luật, Pháp lệnh không ghi số, ký hiệu, cơ quan ban hành)</w:t>
            </w:r>
          </w:p>
          <w:p w:rsidR="00390F0F" w:rsidRPr="001B7F94" w:rsidRDefault="00390F0F" w:rsidP="001B7F94">
            <w:pPr>
              <w:spacing w:before="120" w:after="120" w:line="360" w:lineRule="exact"/>
              <w:ind w:firstLine="680"/>
              <w:jc w:val="both"/>
              <w:rPr>
                <w:sz w:val="28"/>
                <w:szCs w:val="28"/>
              </w:rPr>
            </w:pPr>
            <w:r w:rsidRPr="001B7F94">
              <w:rPr>
                <w:i/>
                <w:sz w:val="28"/>
                <w:szCs w:val="28"/>
              </w:rPr>
              <w:t>Căn cứ ban hành văn bản được trình bày bằng chữ in thường, kiểu chữ nghiên, cỡ chữ từ 13 đến 14, trình bày dưới phần tên loại và trích yếu nội dung văn bản; sau mỗi căn cứ phải xuống dòng, cuối dòng có dấu chấm phẩy (;), dòng cuối cùng kết thúc bằng dấu (.)”</w:t>
            </w:r>
            <w:r w:rsidRPr="001B7F94">
              <w:rPr>
                <w:sz w:val="28"/>
                <w:szCs w:val="28"/>
              </w:rPr>
              <w:t xml:space="preserve">. </w:t>
            </w:r>
          </w:p>
          <w:p w:rsidR="00390F0F" w:rsidRPr="00E91C64" w:rsidRDefault="00390F0F" w:rsidP="001B7F94">
            <w:pPr>
              <w:spacing w:before="120" w:after="120" w:line="360" w:lineRule="exact"/>
              <w:ind w:firstLine="680"/>
              <w:jc w:val="both"/>
              <w:rPr>
                <w:iCs/>
                <w:color w:val="000000"/>
                <w:sz w:val="28"/>
                <w:szCs w:val="28"/>
                <w:u w:val="single"/>
                <w:shd w:val="clear" w:color="auto" w:fill="FFFFFF"/>
              </w:rPr>
            </w:pPr>
            <w:r w:rsidRPr="001B7F94">
              <w:rPr>
                <w:sz w:val="28"/>
                <w:szCs w:val="28"/>
              </w:rPr>
              <w:t xml:space="preserve">Do đó, đề nghị Sở Giao thông vận tại nghiên cứu, điều chỉnh phần căn cứ ban hành Quyết định cho phù quy định nêu trên. Đồng thời, </w:t>
            </w:r>
            <w:r w:rsidRPr="00E91C64">
              <w:rPr>
                <w:sz w:val="28"/>
                <w:szCs w:val="28"/>
                <w:u w:val="single"/>
              </w:rPr>
              <w:t xml:space="preserve">đề nghị bổ sung căn cứ ban hành là “Thông tư số </w:t>
            </w:r>
            <w:r w:rsidRPr="00E91C64">
              <w:rPr>
                <w:color w:val="000000"/>
                <w:sz w:val="28"/>
                <w:szCs w:val="28"/>
                <w:u w:val="single"/>
                <w:shd w:val="clear" w:color="auto" w:fill="FFFFFF"/>
              </w:rPr>
              <w:t xml:space="preserve">15/2021/TT-BGTVT ngày </w:t>
            </w:r>
            <w:r w:rsidRPr="00E91C64">
              <w:rPr>
                <w:iCs/>
                <w:color w:val="000000"/>
                <w:sz w:val="28"/>
                <w:szCs w:val="28"/>
                <w:u w:val="single"/>
                <w:shd w:val="clear" w:color="auto" w:fill="FFFFFF"/>
              </w:rPr>
              <w:t>30 tháng 07 năm 2021 của Bộ Giao thông vận tải hướng dẫn chức năng, nhiệm vụ, quyền hạn của cơ quan chuyên môn về giao thông vận tải thuộc Uỷ ban nhân dân tỉnh, thành phố trực thuộc Trung ương và Uỷ ban nhân dân huyện, quận, thị xã, thành phố thuộc tỉnh, thành phố trực thuộc Trung ương.</w:t>
            </w:r>
          </w:p>
          <w:p w:rsidR="00F702EA" w:rsidRPr="001B7F94" w:rsidRDefault="00390F0F" w:rsidP="001B7F94">
            <w:pPr>
              <w:spacing w:before="120" w:after="120" w:line="360" w:lineRule="exact"/>
              <w:ind w:firstLine="680"/>
              <w:jc w:val="both"/>
              <w:rPr>
                <w:color w:val="FF0000"/>
                <w:sz w:val="28"/>
                <w:szCs w:val="28"/>
              </w:rPr>
            </w:pPr>
            <w:r w:rsidRPr="001B7F94">
              <w:rPr>
                <w:sz w:val="28"/>
                <w:szCs w:val="28"/>
              </w:rPr>
              <w:t xml:space="preserve">- Phần trích yếu dự thảo Quyết định, đề nghị điều chỉnh từ </w:t>
            </w:r>
            <w:r w:rsidRPr="00833048">
              <w:rPr>
                <w:sz w:val="28"/>
                <w:szCs w:val="28"/>
                <w:u w:val="single"/>
              </w:rPr>
              <w:t>“</w:t>
            </w:r>
            <w:r w:rsidRPr="00833048">
              <w:rPr>
                <w:i/>
                <w:sz w:val="28"/>
                <w:szCs w:val="28"/>
                <w:u w:val="single"/>
              </w:rPr>
              <w:t xml:space="preserve">Về việc uỷ quyền cho Sở Giao thông vận tại thực hiện giải </w:t>
            </w:r>
            <w:r w:rsidRPr="00833048">
              <w:rPr>
                <w:i/>
                <w:sz w:val="28"/>
                <w:szCs w:val="28"/>
                <w:u w:val="single"/>
              </w:rPr>
              <w:lastRenderedPageBreak/>
              <w:t>quyết một số thủ tục hành chính thuộc lĩnh vực cấp Giấy vận chuyển hàng hoá nguy hiểm là hoá chất bảo vệ thực vật”</w:t>
            </w:r>
            <w:r w:rsidRPr="00833048">
              <w:rPr>
                <w:sz w:val="28"/>
                <w:szCs w:val="28"/>
                <w:u w:val="single"/>
              </w:rPr>
              <w:t xml:space="preserve"> thành “</w:t>
            </w:r>
            <w:r w:rsidRPr="00833048">
              <w:rPr>
                <w:i/>
                <w:sz w:val="28"/>
                <w:szCs w:val="28"/>
                <w:u w:val="single"/>
              </w:rPr>
              <w:t>Về việc uỷ quyền</w:t>
            </w:r>
            <w:r w:rsidRPr="00833048">
              <w:rPr>
                <w:i/>
                <w:color w:val="FF0000"/>
                <w:sz w:val="28"/>
                <w:szCs w:val="28"/>
                <w:u w:val="single"/>
              </w:rPr>
              <w:t xml:space="preserve"> </w:t>
            </w:r>
            <w:r w:rsidRPr="00833048">
              <w:rPr>
                <w:i/>
                <w:color w:val="000000"/>
                <w:sz w:val="28"/>
                <w:szCs w:val="28"/>
                <w:u w:val="single"/>
                <w:shd w:val="clear" w:color="auto" w:fill="FFFFFF"/>
              </w:rPr>
              <w:t xml:space="preserve">cấp Giấy phép vận chuyển hàng hóa nguy hiểm; </w:t>
            </w:r>
            <w:r w:rsidRPr="00833048">
              <w:rPr>
                <w:bCs/>
                <w:i/>
                <w:color w:val="000000"/>
                <w:sz w:val="28"/>
                <w:szCs w:val="28"/>
                <w:u w:val="single"/>
              </w:rPr>
              <w:t>Điều chỉnh thông tin trên Giấy phép vận chuyển hàng hóa nguy hiểm khi có sự thay đổi liên quan đến nội dung của Giấy phép</w:t>
            </w:r>
            <w:r w:rsidRPr="00833048">
              <w:rPr>
                <w:i/>
                <w:sz w:val="28"/>
                <w:szCs w:val="28"/>
                <w:u w:val="single"/>
              </w:rPr>
              <w:t xml:space="preserve">; </w:t>
            </w:r>
            <w:r w:rsidRPr="00833048">
              <w:rPr>
                <w:rStyle w:val="fontstyle01"/>
                <w:i w:val="0"/>
                <w:u w:val="single"/>
              </w:rPr>
              <w:t>Cấp lại Giấy phép vận chuyển hàng hóa nguy hiểm do bị mất, bị hỏng</w:t>
            </w:r>
            <w:r w:rsidRPr="00833048">
              <w:rPr>
                <w:rStyle w:val="fontstyle01"/>
                <w:u w:val="single"/>
              </w:rPr>
              <w:t xml:space="preserve"> </w:t>
            </w:r>
            <w:r w:rsidRPr="00833048">
              <w:rPr>
                <w:rStyle w:val="fontstyle01"/>
                <w:i w:val="0"/>
                <w:u w:val="single"/>
              </w:rPr>
              <w:t>đối với hàng hoá nguy hiểm là hoá chất bảo vệ thực vật thuộc thẩm quyền của Uỷ ban nhân dân Tỉnh”</w:t>
            </w:r>
            <w:r w:rsidRPr="00833048">
              <w:rPr>
                <w:rStyle w:val="fontstyle01"/>
                <w:u w:val="single"/>
              </w:rPr>
              <w:t>.</w:t>
            </w:r>
            <w:r w:rsidRPr="001B7F94">
              <w:rPr>
                <w:rStyle w:val="fontstyle01"/>
              </w:rPr>
              <w:t xml:space="preserve"> </w:t>
            </w:r>
          </w:p>
        </w:tc>
        <w:tc>
          <w:tcPr>
            <w:tcW w:w="2268" w:type="dxa"/>
            <w:vAlign w:val="center"/>
          </w:tcPr>
          <w:p w:rsidR="00F702EA" w:rsidRPr="00BB1E60" w:rsidRDefault="001B7F94" w:rsidP="00D301D3">
            <w:pPr>
              <w:spacing w:before="60" w:after="60"/>
              <w:jc w:val="both"/>
              <w:rPr>
                <w:sz w:val="28"/>
                <w:szCs w:val="28"/>
                <w:lang w:val="hr-HR"/>
              </w:rPr>
            </w:pPr>
            <w:r>
              <w:rPr>
                <w:sz w:val="28"/>
                <w:szCs w:val="28"/>
                <w:lang w:val="hr-HR"/>
              </w:rPr>
              <w:lastRenderedPageBreak/>
              <w:t>Đã tiếp thu</w:t>
            </w:r>
            <w:r w:rsidR="006F740A">
              <w:rPr>
                <w:sz w:val="28"/>
                <w:szCs w:val="28"/>
                <w:lang w:val="hr-HR"/>
              </w:rPr>
              <w:t xml:space="preserve"> và</w:t>
            </w:r>
            <w:r>
              <w:rPr>
                <w:sz w:val="28"/>
                <w:szCs w:val="28"/>
                <w:lang w:val="hr-HR"/>
              </w:rPr>
              <w:t xml:space="preserve"> điều chỉnh theo góp ý</w:t>
            </w:r>
          </w:p>
        </w:tc>
      </w:tr>
      <w:tr w:rsidR="00F702EA" w:rsidRPr="00054079" w:rsidTr="00D301D3">
        <w:tc>
          <w:tcPr>
            <w:tcW w:w="1652" w:type="dxa"/>
            <w:vAlign w:val="center"/>
          </w:tcPr>
          <w:p w:rsidR="00F702EA" w:rsidRPr="00BB1E60" w:rsidRDefault="00125CF1" w:rsidP="00D301D3">
            <w:pPr>
              <w:spacing w:before="60" w:after="60"/>
              <w:jc w:val="center"/>
              <w:rPr>
                <w:sz w:val="28"/>
                <w:szCs w:val="28"/>
                <w:lang w:val="hr-HR"/>
              </w:rPr>
            </w:pPr>
            <w:r>
              <w:rPr>
                <w:sz w:val="28"/>
                <w:szCs w:val="28"/>
                <w:lang w:val="hr-HR"/>
              </w:rPr>
              <w:lastRenderedPageBreak/>
              <w:t>3</w:t>
            </w:r>
          </w:p>
        </w:tc>
        <w:tc>
          <w:tcPr>
            <w:tcW w:w="3634" w:type="dxa"/>
            <w:vAlign w:val="center"/>
          </w:tcPr>
          <w:p w:rsidR="00F702EA" w:rsidRPr="00BB1E60" w:rsidRDefault="00125CF1" w:rsidP="00D301D3">
            <w:pPr>
              <w:spacing w:before="60" w:after="60"/>
              <w:jc w:val="both"/>
              <w:rPr>
                <w:sz w:val="28"/>
                <w:szCs w:val="28"/>
                <w:lang w:val="hr-HR"/>
              </w:rPr>
            </w:pPr>
            <w:r>
              <w:rPr>
                <w:sz w:val="28"/>
                <w:szCs w:val="28"/>
                <w:lang w:val="hr-HR"/>
              </w:rPr>
              <w:t>Điều 1 của dự thảo Quyết định</w:t>
            </w:r>
          </w:p>
        </w:tc>
        <w:tc>
          <w:tcPr>
            <w:tcW w:w="7047" w:type="dxa"/>
            <w:vAlign w:val="center"/>
          </w:tcPr>
          <w:p w:rsidR="00125CF1" w:rsidRPr="00125CF1" w:rsidRDefault="00125CF1" w:rsidP="00125CF1">
            <w:pPr>
              <w:spacing w:before="120" w:after="120" w:line="360" w:lineRule="exact"/>
              <w:ind w:firstLine="680"/>
              <w:jc w:val="both"/>
              <w:rPr>
                <w:rStyle w:val="fontstyle01"/>
                <w:i w:val="0"/>
              </w:rPr>
            </w:pPr>
            <w:r w:rsidRPr="00125CF1">
              <w:rPr>
                <w:sz w:val="28"/>
                <w:szCs w:val="28"/>
              </w:rPr>
              <w:t xml:space="preserve">- Tại Điều 1 dự thảo Quyết định, đề nghị điều chỉnh từ </w:t>
            </w:r>
            <w:r w:rsidRPr="00125CF1">
              <w:rPr>
                <w:i/>
                <w:sz w:val="28"/>
                <w:szCs w:val="28"/>
              </w:rPr>
              <w:t>“</w:t>
            </w:r>
            <w:r w:rsidRPr="00125CF1">
              <w:rPr>
                <w:b/>
                <w:i/>
                <w:sz w:val="28"/>
                <w:szCs w:val="28"/>
              </w:rPr>
              <w:t>Điều 1.</w:t>
            </w:r>
            <w:r w:rsidRPr="00125CF1">
              <w:rPr>
                <w:i/>
                <w:sz w:val="28"/>
                <w:szCs w:val="28"/>
              </w:rPr>
              <w:t xml:space="preserve"> Uỷ quyền cho Sở Giao thông vận tải thực hiện giải quyết một số thủ tục hành chính thuộc lĩnh vực cấp Giấy phép vận chuyển hàng hoá nguy hiểm là hoá chất bảo vệ thực vật”</w:t>
            </w:r>
            <w:r w:rsidRPr="00125CF1">
              <w:rPr>
                <w:sz w:val="28"/>
                <w:szCs w:val="28"/>
              </w:rPr>
              <w:t xml:space="preserve"> thành </w:t>
            </w:r>
            <w:r w:rsidRPr="00125CF1">
              <w:rPr>
                <w:i/>
                <w:sz w:val="28"/>
                <w:szCs w:val="28"/>
              </w:rPr>
              <w:t>“</w:t>
            </w:r>
            <w:r w:rsidRPr="00125CF1">
              <w:rPr>
                <w:b/>
                <w:i/>
                <w:sz w:val="28"/>
                <w:szCs w:val="28"/>
                <w:u w:val="single"/>
              </w:rPr>
              <w:t>Điều 1.</w:t>
            </w:r>
            <w:r w:rsidRPr="00125CF1">
              <w:rPr>
                <w:i/>
                <w:sz w:val="28"/>
                <w:szCs w:val="28"/>
                <w:u w:val="single"/>
              </w:rPr>
              <w:t xml:space="preserve"> Uỷ quyền cho Sở Giao thông vận tải </w:t>
            </w:r>
            <w:r w:rsidRPr="00125CF1">
              <w:rPr>
                <w:i/>
                <w:color w:val="000000"/>
                <w:sz w:val="28"/>
                <w:szCs w:val="28"/>
                <w:u w:val="single"/>
                <w:shd w:val="clear" w:color="auto" w:fill="FFFFFF"/>
              </w:rPr>
              <w:t xml:space="preserve">cấp Giấy phép vận chuyển hàng hóa nguy hiểm; </w:t>
            </w:r>
            <w:r w:rsidRPr="00125CF1">
              <w:rPr>
                <w:bCs/>
                <w:i/>
                <w:color w:val="000000"/>
                <w:sz w:val="28"/>
                <w:szCs w:val="28"/>
                <w:u w:val="single"/>
              </w:rPr>
              <w:t>Điều chỉnh thông tin trên Giấy phép vận chuyển hàng hóa nguy hiểm khi có sự thay đổi liên quan đến nội dung của Giấy phép</w:t>
            </w:r>
            <w:r w:rsidRPr="00125CF1">
              <w:rPr>
                <w:i/>
                <w:sz w:val="28"/>
                <w:szCs w:val="28"/>
                <w:u w:val="single"/>
              </w:rPr>
              <w:t xml:space="preserve">; </w:t>
            </w:r>
            <w:r w:rsidRPr="00650542">
              <w:rPr>
                <w:rStyle w:val="fontstyle01"/>
                <w:u w:val="single"/>
              </w:rPr>
              <w:t>Cấp lại Giấy phép vận chuyển hàng hóa nguy hiểm do bị mất, bị hỏng đối với hàng hoá nguy hiểm là hoá chất bảo vệ thực vật theo quy định tại khoản 4 Điều 17 Nghị định số 34/2024/NĐ-CP</w:t>
            </w:r>
            <w:r w:rsidRPr="00650542">
              <w:rPr>
                <w:rStyle w:val="fontstyle01"/>
              </w:rPr>
              <w:t>”</w:t>
            </w:r>
            <w:r w:rsidRPr="00125CF1">
              <w:rPr>
                <w:rStyle w:val="fontstyle01"/>
              </w:rPr>
              <w:t xml:space="preserve">. </w:t>
            </w:r>
            <w:r w:rsidRPr="00650542">
              <w:rPr>
                <w:rStyle w:val="fontstyle01"/>
                <w:i w:val="0"/>
              </w:rPr>
              <w:t>Vì đây là nội dung uỷ quyền cho Sở Giao thông vận tải cấp Giấy phép, không phải thực hiện giải quyết thủ tục hành chính.</w:t>
            </w:r>
            <w:r w:rsidRPr="00125CF1">
              <w:rPr>
                <w:rStyle w:val="fontstyle01"/>
                <w:i w:val="0"/>
              </w:rPr>
              <w:t xml:space="preserve"> </w:t>
            </w:r>
            <w:r w:rsidRPr="00125CF1">
              <w:rPr>
                <w:rStyle w:val="fontstyle01"/>
              </w:rPr>
              <w:t xml:space="preserve"> </w:t>
            </w:r>
            <w:r w:rsidRPr="00125CF1">
              <w:rPr>
                <w:rStyle w:val="fontstyle01"/>
                <w:i w:val="0"/>
              </w:rPr>
              <w:t xml:space="preserve"> </w:t>
            </w:r>
          </w:p>
          <w:p w:rsidR="00F702EA" w:rsidRPr="00BB1E60" w:rsidRDefault="00F702EA" w:rsidP="00D301D3">
            <w:pPr>
              <w:spacing w:before="60" w:after="60"/>
              <w:jc w:val="both"/>
              <w:rPr>
                <w:sz w:val="28"/>
                <w:szCs w:val="28"/>
                <w:lang w:val="hr-HR"/>
              </w:rPr>
            </w:pPr>
          </w:p>
        </w:tc>
        <w:tc>
          <w:tcPr>
            <w:tcW w:w="2268" w:type="dxa"/>
            <w:vAlign w:val="center"/>
          </w:tcPr>
          <w:p w:rsidR="00F702EA" w:rsidRPr="00BB1E60" w:rsidRDefault="00DC628D" w:rsidP="00D301D3">
            <w:pPr>
              <w:spacing w:before="60" w:after="60"/>
              <w:jc w:val="both"/>
              <w:rPr>
                <w:sz w:val="28"/>
                <w:szCs w:val="28"/>
                <w:lang w:val="hr-HR"/>
              </w:rPr>
            </w:pPr>
            <w:r>
              <w:rPr>
                <w:sz w:val="28"/>
                <w:szCs w:val="28"/>
                <w:lang w:val="hr-HR"/>
              </w:rPr>
              <w:t>Đã tiếp thu</w:t>
            </w:r>
            <w:r w:rsidR="006F740A">
              <w:rPr>
                <w:sz w:val="28"/>
                <w:szCs w:val="28"/>
                <w:lang w:val="hr-HR"/>
              </w:rPr>
              <w:t xml:space="preserve"> và</w:t>
            </w:r>
            <w:r>
              <w:rPr>
                <w:sz w:val="28"/>
                <w:szCs w:val="28"/>
                <w:lang w:val="hr-HR"/>
              </w:rPr>
              <w:t xml:space="preserve"> điều chỉnh theo góp ý</w:t>
            </w:r>
          </w:p>
        </w:tc>
      </w:tr>
      <w:tr w:rsidR="00F702EA" w:rsidRPr="00054079" w:rsidTr="00D301D3">
        <w:tc>
          <w:tcPr>
            <w:tcW w:w="1652" w:type="dxa"/>
            <w:vAlign w:val="center"/>
          </w:tcPr>
          <w:p w:rsidR="00F702EA" w:rsidRPr="00BB1E60" w:rsidRDefault="00F702EA" w:rsidP="00D301D3">
            <w:pPr>
              <w:spacing w:before="60" w:after="60"/>
              <w:jc w:val="center"/>
              <w:rPr>
                <w:sz w:val="28"/>
                <w:szCs w:val="28"/>
                <w:lang w:val="hr-HR"/>
              </w:rPr>
            </w:pPr>
          </w:p>
        </w:tc>
        <w:tc>
          <w:tcPr>
            <w:tcW w:w="3634" w:type="dxa"/>
            <w:vAlign w:val="center"/>
          </w:tcPr>
          <w:p w:rsidR="00F702EA" w:rsidRPr="00BB1E60" w:rsidRDefault="00F702EA" w:rsidP="00D301D3">
            <w:pPr>
              <w:spacing w:before="60" w:after="60"/>
              <w:jc w:val="both"/>
              <w:rPr>
                <w:sz w:val="28"/>
                <w:szCs w:val="28"/>
                <w:lang w:val="hr-HR"/>
              </w:rPr>
            </w:pPr>
          </w:p>
        </w:tc>
        <w:tc>
          <w:tcPr>
            <w:tcW w:w="7047" w:type="dxa"/>
            <w:vAlign w:val="center"/>
          </w:tcPr>
          <w:p w:rsidR="00F702EA" w:rsidRPr="006F740A" w:rsidRDefault="006F740A" w:rsidP="006F740A">
            <w:pPr>
              <w:spacing w:before="120" w:after="120" w:line="360" w:lineRule="exact"/>
              <w:ind w:firstLine="680"/>
              <w:jc w:val="both"/>
              <w:rPr>
                <w:i/>
                <w:iCs/>
                <w:color w:val="000000"/>
                <w:sz w:val="28"/>
                <w:szCs w:val="28"/>
              </w:rPr>
            </w:pPr>
            <w:r w:rsidRPr="00D466DB">
              <w:rPr>
                <w:rStyle w:val="fontstyle01"/>
                <w:i w:val="0"/>
              </w:rPr>
              <w:t>- Về thời gian uỷ quyền tại Điều 1 dự thảo Quyết định, quy định như sau:</w:t>
            </w:r>
            <w:r>
              <w:rPr>
                <w:rStyle w:val="fontstyle01"/>
              </w:rPr>
              <w:t xml:space="preserve"> </w:t>
            </w:r>
            <w:r w:rsidRPr="00D466DB">
              <w:rPr>
                <w:rStyle w:val="fontstyle01"/>
              </w:rPr>
              <w:t>“Thời gian uỷ quyền: 01 năm (từ ngày    /   /20. . . đến hết ngày    /    /20. . .), trừ trường hợp quy định của pháp luật về nội dung trên có sự thay đổi”</w:t>
            </w:r>
            <w:r>
              <w:rPr>
                <w:rStyle w:val="fontstyle01"/>
              </w:rPr>
              <w:t xml:space="preserve"> </w:t>
            </w:r>
            <w:r w:rsidRPr="006F740A">
              <w:rPr>
                <w:rStyle w:val="fontstyle01"/>
                <w:i w:val="0"/>
                <w:u w:val="single"/>
              </w:rPr>
              <w:t>còn chung chung, chưa cụ thể là chưa phù hợp theo quy định tại khoản 7 Điều 2 Luật sửa đổi, bổ sung một số điều của Luật Tổ chức Chính phủ và Luật Tổ chức Chính quyền địa phương năm 2019.</w:t>
            </w:r>
            <w:r>
              <w:rPr>
                <w:rStyle w:val="fontstyle01"/>
              </w:rPr>
              <w:t xml:space="preserve"> </w:t>
            </w:r>
          </w:p>
        </w:tc>
        <w:tc>
          <w:tcPr>
            <w:tcW w:w="2268" w:type="dxa"/>
            <w:vAlign w:val="center"/>
          </w:tcPr>
          <w:p w:rsidR="00F702EA" w:rsidRPr="00BB1E60" w:rsidRDefault="00F702EA" w:rsidP="00D301D3">
            <w:pPr>
              <w:spacing w:before="60" w:after="60"/>
              <w:jc w:val="both"/>
              <w:rPr>
                <w:sz w:val="28"/>
                <w:szCs w:val="28"/>
                <w:lang w:val="hr-HR"/>
              </w:rPr>
            </w:pPr>
          </w:p>
        </w:tc>
      </w:tr>
      <w:tr w:rsidR="00F702EA" w:rsidRPr="00054079" w:rsidTr="00D301D3">
        <w:tc>
          <w:tcPr>
            <w:tcW w:w="1652" w:type="dxa"/>
            <w:vAlign w:val="center"/>
          </w:tcPr>
          <w:p w:rsidR="00F702EA" w:rsidRPr="00BB1E60" w:rsidRDefault="00ED02FB" w:rsidP="00D301D3">
            <w:pPr>
              <w:spacing w:before="60" w:after="60"/>
              <w:jc w:val="center"/>
              <w:rPr>
                <w:sz w:val="28"/>
                <w:szCs w:val="28"/>
                <w:lang w:val="hr-HR"/>
              </w:rPr>
            </w:pPr>
            <w:r>
              <w:rPr>
                <w:sz w:val="28"/>
                <w:szCs w:val="28"/>
                <w:lang w:val="hr-HR"/>
              </w:rPr>
              <w:t>4</w:t>
            </w:r>
          </w:p>
        </w:tc>
        <w:tc>
          <w:tcPr>
            <w:tcW w:w="3634" w:type="dxa"/>
            <w:vAlign w:val="center"/>
          </w:tcPr>
          <w:p w:rsidR="00F702EA" w:rsidRPr="00BB1E60" w:rsidRDefault="004A38A5" w:rsidP="00D301D3">
            <w:pPr>
              <w:spacing w:before="60" w:after="60"/>
              <w:jc w:val="both"/>
              <w:rPr>
                <w:sz w:val="28"/>
                <w:szCs w:val="28"/>
                <w:lang w:val="hr-HR"/>
              </w:rPr>
            </w:pPr>
            <w:r>
              <w:rPr>
                <w:sz w:val="28"/>
                <w:szCs w:val="28"/>
                <w:lang w:val="hr-HR"/>
              </w:rPr>
              <w:t>Điều 2 của dự thảo Quyết định</w:t>
            </w:r>
          </w:p>
        </w:tc>
        <w:tc>
          <w:tcPr>
            <w:tcW w:w="7047" w:type="dxa"/>
            <w:vAlign w:val="center"/>
          </w:tcPr>
          <w:p w:rsidR="004A38A5" w:rsidRDefault="004A38A5" w:rsidP="004A38A5">
            <w:pPr>
              <w:spacing w:before="120" w:after="120" w:line="360" w:lineRule="exact"/>
              <w:ind w:firstLine="680"/>
              <w:jc w:val="both"/>
              <w:rPr>
                <w:rStyle w:val="fontstyle01"/>
              </w:rPr>
            </w:pPr>
            <w:r w:rsidRPr="004A38A5">
              <w:rPr>
                <w:rStyle w:val="fontstyle01"/>
                <w:i w:val="0"/>
              </w:rPr>
              <w:t xml:space="preserve">Tại Điều 2 dự thảo Quyết định, quy định: </w:t>
            </w:r>
            <w:r w:rsidRPr="004A38A5">
              <w:rPr>
                <w:rStyle w:val="fontstyle01"/>
              </w:rPr>
              <w:t>“Giao Giám đốc Sở Giao thông vận tải tham mưu trình Chủ tịch Uỷ ban nhân dân Tỉnh ban hành Quyết định sửa đổi danh mục thủ tục hành chính thuộc thẩm quyền quản lý và giải quyết của Sở Giao thông vận tải”</w:t>
            </w:r>
            <w:r>
              <w:rPr>
                <w:rStyle w:val="fontstyle01"/>
              </w:rPr>
              <w:t xml:space="preserve"> </w:t>
            </w:r>
            <w:r w:rsidRPr="004A38A5">
              <w:rPr>
                <w:rStyle w:val="fontstyle01"/>
                <w:i w:val="0"/>
                <w:u w:val="single"/>
              </w:rPr>
              <w:t>là không cần thiết. Do đó, Sở Tư pháp đề nghị Sở Giao thông vận tải điều chỉnh Điều 2 dự thảo Quyết định quy định về thời gian và điều kiện uỷ quyền.</w:t>
            </w:r>
          </w:p>
          <w:p w:rsidR="00F702EA" w:rsidRPr="00BB1E60" w:rsidRDefault="00F702EA" w:rsidP="00D301D3">
            <w:pPr>
              <w:spacing w:before="60" w:after="60"/>
              <w:jc w:val="both"/>
              <w:rPr>
                <w:sz w:val="28"/>
                <w:szCs w:val="28"/>
                <w:lang w:val="hr-HR"/>
              </w:rPr>
            </w:pPr>
          </w:p>
        </w:tc>
        <w:tc>
          <w:tcPr>
            <w:tcW w:w="2268" w:type="dxa"/>
            <w:vAlign w:val="center"/>
          </w:tcPr>
          <w:p w:rsidR="00F702EA" w:rsidRPr="00BB1E60" w:rsidRDefault="004A38A5" w:rsidP="00D301D3">
            <w:pPr>
              <w:spacing w:before="60" w:after="60"/>
              <w:jc w:val="both"/>
              <w:rPr>
                <w:sz w:val="28"/>
                <w:szCs w:val="28"/>
                <w:lang w:val="hr-HR"/>
              </w:rPr>
            </w:pPr>
            <w:r>
              <w:rPr>
                <w:sz w:val="28"/>
                <w:szCs w:val="28"/>
                <w:lang w:val="hr-HR"/>
              </w:rPr>
              <w:t>Đã tiếp thu và điều chỉnh theo góp ý</w:t>
            </w:r>
          </w:p>
        </w:tc>
      </w:tr>
      <w:tr w:rsidR="00F702EA" w:rsidRPr="00054079" w:rsidTr="00D301D3">
        <w:tc>
          <w:tcPr>
            <w:tcW w:w="1652" w:type="dxa"/>
            <w:vAlign w:val="center"/>
          </w:tcPr>
          <w:p w:rsidR="00F702EA" w:rsidRPr="00BB1E60" w:rsidRDefault="00ED02FB" w:rsidP="00D301D3">
            <w:pPr>
              <w:spacing w:before="60" w:after="60"/>
              <w:jc w:val="center"/>
              <w:rPr>
                <w:sz w:val="28"/>
                <w:szCs w:val="28"/>
                <w:lang w:val="hr-HR"/>
              </w:rPr>
            </w:pPr>
            <w:r>
              <w:rPr>
                <w:sz w:val="28"/>
                <w:szCs w:val="28"/>
                <w:lang w:val="hr-HR"/>
              </w:rPr>
              <w:t>5</w:t>
            </w:r>
          </w:p>
        </w:tc>
        <w:tc>
          <w:tcPr>
            <w:tcW w:w="3634" w:type="dxa"/>
            <w:vAlign w:val="center"/>
          </w:tcPr>
          <w:p w:rsidR="00F702EA" w:rsidRPr="00511CB2" w:rsidRDefault="00511CB2" w:rsidP="00D301D3">
            <w:pPr>
              <w:spacing w:before="60" w:after="60"/>
              <w:jc w:val="both"/>
              <w:rPr>
                <w:i/>
                <w:sz w:val="28"/>
                <w:szCs w:val="28"/>
                <w:lang w:val="hr-HR"/>
              </w:rPr>
            </w:pPr>
            <w:r>
              <w:rPr>
                <w:rStyle w:val="fontstyle01"/>
                <w:i w:val="0"/>
              </w:rPr>
              <w:t>P</w:t>
            </w:r>
            <w:r w:rsidRPr="00511CB2">
              <w:rPr>
                <w:rStyle w:val="fontstyle01"/>
                <w:i w:val="0"/>
              </w:rPr>
              <w:t>hần quyền hạn, chức vụ của người ký</w:t>
            </w:r>
          </w:p>
        </w:tc>
        <w:tc>
          <w:tcPr>
            <w:tcW w:w="7047" w:type="dxa"/>
            <w:vAlign w:val="center"/>
          </w:tcPr>
          <w:p w:rsidR="00F702EA" w:rsidRPr="00BB1E60" w:rsidRDefault="00511CB2" w:rsidP="00D301D3">
            <w:pPr>
              <w:spacing w:before="60" w:after="60"/>
              <w:jc w:val="both"/>
              <w:rPr>
                <w:sz w:val="28"/>
                <w:szCs w:val="28"/>
                <w:lang w:val="hr-HR"/>
              </w:rPr>
            </w:pPr>
            <w:r w:rsidRPr="00511CB2">
              <w:rPr>
                <w:rStyle w:val="fontstyle01"/>
                <w:i w:val="0"/>
              </w:rPr>
              <w:t>- Ở phần quyền hạn, chức vụ của người ký, đề nghị bổ sung:</w:t>
            </w:r>
            <w:r>
              <w:rPr>
                <w:rStyle w:val="fontstyle01"/>
              </w:rPr>
              <w:t xml:space="preserve"> “TM. UỶ BAN NHÂN DÂN” </w:t>
            </w:r>
            <w:r w:rsidRPr="00511CB2">
              <w:rPr>
                <w:rStyle w:val="fontstyle01"/>
                <w:i w:val="0"/>
              </w:rPr>
              <w:t>cho phù theo thẩm quyền được quy định tại khoản 4 Điều 17 Nghị định số 34/2024/NĐ-CP; phần nơi nhận đề nghị liệt kê cụ thể các cơ quan, tổ chức, đơn vị, cá nhân nhận văn bản, không khi chung chung như “Các Sở, ngành Tỉnh có liên quan”</w:t>
            </w:r>
          </w:p>
        </w:tc>
        <w:tc>
          <w:tcPr>
            <w:tcW w:w="2268" w:type="dxa"/>
            <w:vAlign w:val="center"/>
          </w:tcPr>
          <w:p w:rsidR="00F702EA" w:rsidRPr="00BB1E60" w:rsidRDefault="0028610E" w:rsidP="00D301D3">
            <w:pPr>
              <w:spacing w:before="60" w:after="60"/>
              <w:jc w:val="both"/>
              <w:rPr>
                <w:sz w:val="28"/>
                <w:szCs w:val="28"/>
                <w:lang w:val="hr-HR"/>
              </w:rPr>
            </w:pPr>
            <w:r>
              <w:rPr>
                <w:sz w:val="28"/>
                <w:szCs w:val="28"/>
                <w:lang w:val="hr-HR"/>
              </w:rPr>
              <w:t>Đã tiếp thu và điều chỉnh theo góp ý</w:t>
            </w:r>
          </w:p>
        </w:tc>
      </w:tr>
    </w:tbl>
    <w:p w:rsidR="00852E73" w:rsidRPr="00054079" w:rsidRDefault="00852E73">
      <w:pPr>
        <w:rPr>
          <w:sz w:val="28"/>
          <w:szCs w:val="28"/>
          <w:lang w:val="hr-HR"/>
        </w:rPr>
      </w:pPr>
    </w:p>
    <w:sectPr w:rsidR="00852E73" w:rsidRPr="00054079" w:rsidSect="00AA0F46">
      <w:footerReference w:type="even" r:id="rId8"/>
      <w:footerReference w:type="default" r:id="rId9"/>
      <w:pgSz w:w="16840" w:h="11907" w:orient="landscape"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580D" w:rsidRDefault="0039580D">
      <w:r>
        <w:separator/>
      </w:r>
    </w:p>
  </w:endnote>
  <w:endnote w:type="continuationSeparator" w:id="0">
    <w:p w:rsidR="0039580D" w:rsidRDefault="00395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E2C" w:rsidRDefault="003E6E2C" w:rsidP="006F45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E6E2C" w:rsidRDefault="003E6E2C" w:rsidP="0085344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E2C" w:rsidRDefault="003E6E2C">
    <w:pPr>
      <w:pStyle w:val="Footer"/>
      <w:jc w:val="center"/>
    </w:pPr>
    <w:r>
      <w:fldChar w:fldCharType="begin"/>
    </w:r>
    <w:r>
      <w:instrText xml:space="preserve"> PAGE   \* MERGEFORMAT </w:instrText>
    </w:r>
    <w:r>
      <w:fldChar w:fldCharType="separate"/>
    </w:r>
    <w:r w:rsidR="00CD0B02">
      <w:rPr>
        <w:noProof/>
      </w:rPr>
      <w:t>6</w:t>
    </w:r>
    <w:r>
      <w:fldChar w:fldCharType="end"/>
    </w:r>
  </w:p>
  <w:p w:rsidR="003E6E2C" w:rsidRDefault="003E6E2C" w:rsidP="006B61E4">
    <w:pPr>
      <w:pStyle w:val="Footer"/>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580D" w:rsidRDefault="0039580D">
      <w:r>
        <w:separator/>
      </w:r>
    </w:p>
  </w:footnote>
  <w:footnote w:type="continuationSeparator" w:id="0">
    <w:p w:rsidR="0039580D" w:rsidRDefault="003958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1D681A"/>
    <w:multiLevelType w:val="hybridMultilevel"/>
    <w:tmpl w:val="79F8A27A"/>
    <w:lvl w:ilvl="0" w:tplc="3468CB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FD28DF"/>
    <w:multiLevelType w:val="hybridMultilevel"/>
    <w:tmpl w:val="DF5A2606"/>
    <w:lvl w:ilvl="0" w:tplc="A5FADC08">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A05"/>
    <w:rsid w:val="00002539"/>
    <w:rsid w:val="00003858"/>
    <w:rsid w:val="000053B7"/>
    <w:rsid w:val="00007965"/>
    <w:rsid w:val="00007D8E"/>
    <w:rsid w:val="000219F5"/>
    <w:rsid w:val="00022C2A"/>
    <w:rsid w:val="0002543E"/>
    <w:rsid w:val="000265CD"/>
    <w:rsid w:val="00026749"/>
    <w:rsid w:val="00027398"/>
    <w:rsid w:val="000350EF"/>
    <w:rsid w:val="00042000"/>
    <w:rsid w:val="0004729C"/>
    <w:rsid w:val="000475CF"/>
    <w:rsid w:val="000476C1"/>
    <w:rsid w:val="00047823"/>
    <w:rsid w:val="00050439"/>
    <w:rsid w:val="000522F1"/>
    <w:rsid w:val="00054079"/>
    <w:rsid w:val="000566CD"/>
    <w:rsid w:val="000608DF"/>
    <w:rsid w:val="00060B7B"/>
    <w:rsid w:val="00062429"/>
    <w:rsid w:val="00063344"/>
    <w:rsid w:val="00064388"/>
    <w:rsid w:val="00065EF3"/>
    <w:rsid w:val="0006602A"/>
    <w:rsid w:val="00067067"/>
    <w:rsid w:val="000757B3"/>
    <w:rsid w:val="00082AE7"/>
    <w:rsid w:val="00084B1C"/>
    <w:rsid w:val="00085F4B"/>
    <w:rsid w:val="00086367"/>
    <w:rsid w:val="0009464F"/>
    <w:rsid w:val="00095834"/>
    <w:rsid w:val="000958F1"/>
    <w:rsid w:val="00095C0D"/>
    <w:rsid w:val="0009745C"/>
    <w:rsid w:val="000A2823"/>
    <w:rsid w:val="000A79AF"/>
    <w:rsid w:val="000B115B"/>
    <w:rsid w:val="000B3DD1"/>
    <w:rsid w:val="000B61F8"/>
    <w:rsid w:val="000B6D11"/>
    <w:rsid w:val="000C3EA7"/>
    <w:rsid w:val="000C439D"/>
    <w:rsid w:val="000C73F4"/>
    <w:rsid w:val="000D20A2"/>
    <w:rsid w:val="000D321A"/>
    <w:rsid w:val="000D5640"/>
    <w:rsid w:val="000D60B6"/>
    <w:rsid w:val="000E0AB9"/>
    <w:rsid w:val="000F17DA"/>
    <w:rsid w:val="000F46EE"/>
    <w:rsid w:val="000F6BCA"/>
    <w:rsid w:val="000F6FAA"/>
    <w:rsid w:val="00101EED"/>
    <w:rsid w:val="001028E0"/>
    <w:rsid w:val="00104EF8"/>
    <w:rsid w:val="001053CB"/>
    <w:rsid w:val="00111E6C"/>
    <w:rsid w:val="00113CFD"/>
    <w:rsid w:val="001220FE"/>
    <w:rsid w:val="00125CF1"/>
    <w:rsid w:val="001265DF"/>
    <w:rsid w:val="001325E0"/>
    <w:rsid w:val="00133628"/>
    <w:rsid w:val="001412B7"/>
    <w:rsid w:val="00145DD7"/>
    <w:rsid w:val="00146B3B"/>
    <w:rsid w:val="00150006"/>
    <w:rsid w:val="001516E6"/>
    <w:rsid w:val="001536E4"/>
    <w:rsid w:val="00155D55"/>
    <w:rsid w:val="00157035"/>
    <w:rsid w:val="00163C10"/>
    <w:rsid w:val="001653EC"/>
    <w:rsid w:val="00166F2D"/>
    <w:rsid w:val="0016732E"/>
    <w:rsid w:val="00173856"/>
    <w:rsid w:val="00174F51"/>
    <w:rsid w:val="001772C9"/>
    <w:rsid w:val="001778BC"/>
    <w:rsid w:val="0019464D"/>
    <w:rsid w:val="0019548D"/>
    <w:rsid w:val="00197756"/>
    <w:rsid w:val="001A2B3C"/>
    <w:rsid w:val="001A30B8"/>
    <w:rsid w:val="001B5A6C"/>
    <w:rsid w:val="001B7EE5"/>
    <w:rsid w:val="001B7F94"/>
    <w:rsid w:val="001C0A6B"/>
    <w:rsid w:val="001C3E47"/>
    <w:rsid w:val="001C78DE"/>
    <w:rsid w:val="001D1A0C"/>
    <w:rsid w:val="001E218C"/>
    <w:rsid w:val="001F147B"/>
    <w:rsid w:val="001F42DA"/>
    <w:rsid w:val="001F5442"/>
    <w:rsid w:val="001F663C"/>
    <w:rsid w:val="001F6842"/>
    <w:rsid w:val="001F6CF8"/>
    <w:rsid w:val="002008A8"/>
    <w:rsid w:val="002069F3"/>
    <w:rsid w:val="002105C5"/>
    <w:rsid w:val="00211658"/>
    <w:rsid w:val="00216810"/>
    <w:rsid w:val="0022442C"/>
    <w:rsid w:val="002311DF"/>
    <w:rsid w:val="0023492A"/>
    <w:rsid w:val="0023512E"/>
    <w:rsid w:val="00237597"/>
    <w:rsid w:val="00243DCE"/>
    <w:rsid w:val="00246BA7"/>
    <w:rsid w:val="002509E9"/>
    <w:rsid w:val="002553E4"/>
    <w:rsid w:val="00260D22"/>
    <w:rsid w:val="0026371B"/>
    <w:rsid w:val="00264F96"/>
    <w:rsid w:val="00265350"/>
    <w:rsid w:val="00270A7B"/>
    <w:rsid w:val="0027193C"/>
    <w:rsid w:val="002734E8"/>
    <w:rsid w:val="00274476"/>
    <w:rsid w:val="002757CD"/>
    <w:rsid w:val="0028610E"/>
    <w:rsid w:val="00286481"/>
    <w:rsid w:val="00296AC5"/>
    <w:rsid w:val="00296C13"/>
    <w:rsid w:val="00296F30"/>
    <w:rsid w:val="002A06C1"/>
    <w:rsid w:val="002A2917"/>
    <w:rsid w:val="002A581C"/>
    <w:rsid w:val="002A5AAB"/>
    <w:rsid w:val="002A6947"/>
    <w:rsid w:val="002A719B"/>
    <w:rsid w:val="002B7E08"/>
    <w:rsid w:val="002C6F93"/>
    <w:rsid w:val="002D5EBF"/>
    <w:rsid w:val="002E0A15"/>
    <w:rsid w:val="002E2106"/>
    <w:rsid w:val="002E7E93"/>
    <w:rsid w:val="002F0653"/>
    <w:rsid w:val="002F219B"/>
    <w:rsid w:val="002F6F75"/>
    <w:rsid w:val="00304D5F"/>
    <w:rsid w:val="00305103"/>
    <w:rsid w:val="00306343"/>
    <w:rsid w:val="003109A1"/>
    <w:rsid w:val="003263EB"/>
    <w:rsid w:val="00327C2C"/>
    <w:rsid w:val="003349ED"/>
    <w:rsid w:val="00334FA5"/>
    <w:rsid w:val="0034085A"/>
    <w:rsid w:val="00343964"/>
    <w:rsid w:val="00343CEE"/>
    <w:rsid w:val="00347587"/>
    <w:rsid w:val="00347A51"/>
    <w:rsid w:val="00353B7B"/>
    <w:rsid w:val="00360DEF"/>
    <w:rsid w:val="0036625E"/>
    <w:rsid w:val="00366854"/>
    <w:rsid w:val="00371B8E"/>
    <w:rsid w:val="00372AD1"/>
    <w:rsid w:val="00374521"/>
    <w:rsid w:val="003768D8"/>
    <w:rsid w:val="00376E59"/>
    <w:rsid w:val="00376EEB"/>
    <w:rsid w:val="00390F0F"/>
    <w:rsid w:val="00394599"/>
    <w:rsid w:val="0039580D"/>
    <w:rsid w:val="00396178"/>
    <w:rsid w:val="003A76FB"/>
    <w:rsid w:val="003B0982"/>
    <w:rsid w:val="003B0A09"/>
    <w:rsid w:val="003B2321"/>
    <w:rsid w:val="003B2634"/>
    <w:rsid w:val="003B58E6"/>
    <w:rsid w:val="003C2445"/>
    <w:rsid w:val="003C2FC3"/>
    <w:rsid w:val="003C43D3"/>
    <w:rsid w:val="003C5DEA"/>
    <w:rsid w:val="003D2F7D"/>
    <w:rsid w:val="003D4950"/>
    <w:rsid w:val="003E208C"/>
    <w:rsid w:val="003E3A4D"/>
    <w:rsid w:val="003E55FA"/>
    <w:rsid w:val="003E5FA8"/>
    <w:rsid w:val="003E6E2C"/>
    <w:rsid w:val="003F042E"/>
    <w:rsid w:val="003F10B9"/>
    <w:rsid w:val="003F43D0"/>
    <w:rsid w:val="003F6E44"/>
    <w:rsid w:val="00416D98"/>
    <w:rsid w:val="00417E0A"/>
    <w:rsid w:val="00421F83"/>
    <w:rsid w:val="00423F66"/>
    <w:rsid w:val="00425F83"/>
    <w:rsid w:val="004308B3"/>
    <w:rsid w:val="0043797E"/>
    <w:rsid w:val="00437E60"/>
    <w:rsid w:val="00441E42"/>
    <w:rsid w:val="00442525"/>
    <w:rsid w:val="00443328"/>
    <w:rsid w:val="00444DEF"/>
    <w:rsid w:val="00445356"/>
    <w:rsid w:val="00453C8E"/>
    <w:rsid w:val="00454E85"/>
    <w:rsid w:val="00461980"/>
    <w:rsid w:val="00472089"/>
    <w:rsid w:val="0047372F"/>
    <w:rsid w:val="00473C2A"/>
    <w:rsid w:val="00474A5A"/>
    <w:rsid w:val="0047798D"/>
    <w:rsid w:val="00477ED5"/>
    <w:rsid w:val="00486106"/>
    <w:rsid w:val="00491C14"/>
    <w:rsid w:val="00492912"/>
    <w:rsid w:val="00496345"/>
    <w:rsid w:val="00496FCE"/>
    <w:rsid w:val="004A38A5"/>
    <w:rsid w:val="004B0B13"/>
    <w:rsid w:val="004B52D5"/>
    <w:rsid w:val="004B605D"/>
    <w:rsid w:val="004C004D"/>
    <w:rsid w:val="004C06EA"/>
    <w:rsid w:val="004C6492"/>
    <w:rsid w:val="004D0BB3"/>
    <w:rsid w:val="004D2967"/>
    <w:rsid w:val="004D4BB0"/>
    <w:rsid w:val="004D7A05"/>
    <w:rsid w:val="004E2B76"/>
    <w:rsid w:val="004E4126"/>
    <w:rsid w:val="004E6FB4"/>
    <w:rsid w:val="004F2EB1"/>
    <w:rsid w:val="0050145D"/>
    <w:rsid w:val="00503FF2"/>
    <w:rsid w:val="00506888"/>
    <w:rsid w:val="0051080D"/>
    <w:rsid w:val="00511CB2"/>
    <w:rsid w:val="00521525"/>
    <w:rsid w:val="00522FBD"/>
    <w:rsid w:val="00525502"/>
    <w:rsid w:val="00526A9C"/>
    <w:rsid w:val="005312C6"/>
    <w:rsid w:val="0054764A"/>
    <w:rsid w:val="00547722"/>
    <w:rsid w:val="00547A16"/>
    <w:rsid w:val="005502CC"/>
    <w:rsid w:val="005526B4"/>
    <w:rsid w:val="0055408C"/>
    <w:rsid w:val="00555CAB"/>
    <w:rsid w:val="005701D4"/>
    <w:rsid w:val="00570610"/>
    <w:rsid w:val="00570C7A"/>
    <w:rsid w:val="00571B72"/>
    <w:rsid w:val="0057250A"/>
    <w:rsid w:val="00575389"/>
    <w:rsid w:val="00576CD1"/>
    <w:rsid w:val="00584A50"/>
    <w:rsid w:val="00594302"/>
    <w:rsid w:val="0059698F"/>
    <w:rsid w:val="005A253C"/>
    <w:rsid w:val="005A3BF6"/>
    <w:rsid w:val="005A5B2B"/>
    <w:rsid w:val="005B0AB6"/>
    <w:rsid w:val="005B2CD3"/>
    <w:rsid w:val="005B5680"/>
    <w:rsid w:val="005B6F55"/>
    <w:rsid w:val="005C1A1F"/>
    <w:rsid w:val="005D3F6F"/>
    <w:rsid w:val="005D45CC"/>
    <w:rsid w:val="005D6C02"/>
    <w:rsid w:val="005E090C"/>
    <w:rsid w:val="005E0D0C"/>
    <w:rsid w:val="005E2647"/>
    <w:rsid w:val="005F002D"/>
    <w:rsid w:val="005F151B"/>
    <w:rsid w:val="00607246"/>
    <w:rsid w:val="00625146"/>
    <w:rsid w:val="0063067A"/>
    <w:rsid w:val="006324C3"/>
    <w:rsid w:val="00635F85"/>
    <w:rsid w:val="00640530"/>
    <w:rsid w:val="006413F9"/>
    <w:rsid w:val="00643E01"/>
    <w:rsid w:val="00644A6C"/>
    <w:rsid w:val="00644F1C"/>
    <w:rsid w:val="00650542"/>
    <w:rsid w:val="00651E05"/>
    <w:rsid w:val="00681660"/>
    <w:rsid w:val="00682ABE"/>
    <w:rsid w:val="0069294B"/>
    <w:rsid w:val="006935DF"/>
    <w:rsid w:val="00694CF8"/>
    <w:rsid w:val="00695D5C"/>
    <w:rsid w:val="006A200E"/>
    <w:rsid w:val="006A51EE"/>
    <w:rsid w:val="006A630B"/>
    <w:rsid w:val="006A7BFF"/>
    <w:rsid w:val="006B1572"/>
    <w:rsid w:val="006B61E4"/>
    <w:rsid w:val="006C3158"/>
    <w:rsid w:val="006D147E"/>
    <w:rsid w:val="006D568F"/>
    <w:rsid w:val="006D7BFE"/>
    <w:rsid w:val="006E268B"/>
    <w:rsid w:val="006E329C"/>
    <w:rsid w:val="006E4529"/>
    <w:rsid w:val="006E5D5F"/>
    <w:rsid w:val="006F45CD"/>
    <w:rsid w:val="006F5624"/>
    <w:rsid w:val="006F6375"/>
    <w:rsid w:val="006F740A"/>
    <w:rsid w:val="0070459D"/>
    <w:rsid w:val="0070471D"/>
    <w:rsid w:val="00705D6C"/>
    <w:rsid w:val="00707813"/>
    <w:rsid w:val="00710CE0"/>
    <w:rsid w:val="007131C5"/>
    <w:rsid w:val="007176FC"/>
    <w:rsid w:val="0072346F"/>
    <w:rsid w:val="00726868"/>
    <w:rsid w:val="00726A27"/>
    <w:rsid w:val="00731F52"/>
    <w:rsid w:val="0073695D"/>
    <w:rsid w:val="0074083F"/>
    <w:rsid w:val="00740AA4"/>
    <w:rsid w:val="00745C29"/>
    <w:rsid w:val="00767ACC"/>
    <w:rsid w:val="007704FE"/>
    <w:rsid w:val="007719F8"/>
    <w:rsid w:val="00772784"/>
    <w:rsid w:val="007753D0"/>
    <w:rsid w:val="00790969"/>
    <w:rsid w:val="00793AF3"/>
    <w:rsid w:val="007B0B40"/>
    <w:rsid w:val="007B1089"/>
    <w:rsid w:val="007B7ACE"/>
    <w:rsid w:val="007C1D4D"/>
    <w:rsid w:val="007C233C"/>
    <w:rsid w:val="007C598E"/>
    <w:rsid w:val="007D0328"/>
    <w:rsid w:val="007D52C4"/>
    <w:rsid w:val="007E1A4A"/>
    <w:rsid w:val="007E496E"/>
    <w:rsid w:val="007E58C1"/>
    <w:rsid w:val="007E5B17"/>
    <w:rsid w:val="007E71F8"/>
    <w:rsid w:val="007F30F4"/>
    <w:rsid w:val="007F6D5E"/>
    <w:rsid w:val="00800EED"/>
    <w:rsid w:val="008053DA"/>
    <w:rsid w:val="00807D41"/>
    <w:rsid w:val="00810F19"/>
    <w:rsid w:val="00815AA6"/>
    <w:rsid w:val="00816C15"/>
    <w:rsid w:val="008220BD"/>
    <w:rsid w:val="00822530"/>
    <w:rsid w:val="008245F2"/>
    <w:rsid w:val="00832698"/>
    <w:rsid w:val="00833048"/>
    <w:rsid w:val="008407BD"/>
    <w:rsid w:val="00841306"/>
    <w:rsid w:val="00842881"/>
    <w:rsid w:val="00847411"/>
    <w:rsid w:val="00851F36"/>
    <w:rsid w:val="00852E73"/>
    <w:rsid w:val="00853442"/>
    <w:rsid w:val="00854A18"/>
    <w:rsid w:val="008557B0"/>
    <w:rsid w:val="00861C84"/>
    <w:rsid w:val="0086330B"/>
    <w:rsid w:val="0086457E"/>
    <w:rsid w:val="00877601"/>
    <w:rsid w:val="0088057E"/>
    <w:rsid w:val="008820AE"/>
    <w:rsid w:val="00890535"/>
    <w:rsid w:val="008971F9"/>
    <w:rsid w:val="008A0409"/>
    <w:rsid w:val="008A16C9"/>
    <w:rsid w:val="008A1770"/>
    <w:rsid w:val="008A1E19"/>
    <w:rsid w:val="008A41CD"/>
    <w:rsid w:val="008B1236"/>
    <w:rsid w:val="008B20A8"/>
    <w:rsid w:val="008B4552"/>
    <w:rsid w:val="008B538C"/>
    <w:rsid w:val="008D3773"/>
    <w:rsid w:val="008D498C"/>
    <w:rsid w:val="008D6812"/>
    <w:rsid w:val="008F3C7D"/>
    <w:rsid w:val="00904D3F"/>
    <w:rsid w:val="00913BDF"/>
    <w:rsid w:val="00914642"/>
    <w:rsid w:val="00916346"/>
    <w:rsid w:val="0092560B"/>
    <w:rsid w:val="009258C7"/>
    <w:rsid w:val="0093607B"/>
    <w:rsid w:val="00937B5A"/>
    <w:rsid w:val="00941B6A"/>
    <w:rsid w:val="00952109"/>
    <w:rsid w:val="00953FC7"/>
    <w:rsid w:val="00954804"/>
    <w:rsid w:val="00955015"/>
    <w:rsid w:val="0095652E"/>
    <w:rsid w:val="009620DD"/>
    <w:rsid w:val="00965459"/>
    <w:rsid w:val="009662CA"/>
    <w:rsid w:val="009662CD"/>
    <w:rsid w:val="0096744E"/>
    <w:rsid w:val="00967CCE"/>
    <w:rsid w:val="00970AD6"/>
    <w:rsid w:val="0097242B"/>
    <w:rsid w:val="00972E9A"/>
    <w:rsid w:val="0097321B"/>
    <w:rsid w:val="0097391F"/>
    <w:rsid w:val="00983027"/>
    <w:rsid w:val="0099125C"/>
    <w:rsid w:val="009930E1"/>
    <w:rsid w:val="00993C4D"/>
    <w:rsid w:val="0099735F"/>
    <w:rsid w:val="009A0214"/>
    <w:rsid w:val="009A109D"/>
    <w:rsid w:val="009A448B"/>
    <w:rsid w:val="009A4708"/>
    <w:rsid w:val="009B6FE0"/>
    <w:rsid w:val="009C005A"/>
    <w:rsid w:val="009C143F"/>
    <w:rsid w:val="009C1914"/>
    <w:rsid w:val="009C6890"/>
    <w:rsid w:val="009C74BD"/>
    <w:rsid w:val="009D5AF5"/>
    <w:rsid w:val="009D650A"/>
    <w:rsid w:val="009E213E"/>
    <w:rsid w:val="009E2A52"/>
    <w:rsid w:val="009E5C93"/>
    <w:rsid w:val="009F0F71"/>
    <w:rsid w:val="009F156C"/>
    <w:rsid w:val="009F216F"/>
    <w:rsid w:val="009F48F1"/>
    <w:rsid w:val="00A0149F"/>
    <w:rsid w:val="00A0211D"/>
    <w:rsid w:val="00A05661"/>
    <w:rsid w:val="00A070CD"/>
    <w:rsid w:val="00A108A6"/>
    <w:rsid w:val="00A173A6"/>
    <w:rsid w:val="00A23A2E"/>
    <w:rsid w:val="00A25671"/>
    <w:rsid w:val="00A2708E"/>
    <w:rsid w:val="00A31370"/>
    <w:rsid w:val="00A33295"/>
    <w:rsid w:val="00A36088"/>
    <w:rsid w:val="00A36827"/>
    <w:rsid w:val="00A37E07"/>
    <w:rsid w:val="00A40000"/>
    <w:rsid w:val="00A47896"/>
    <w:rsid w:val="00A5270A"/>
    <w:rsid w:val="00A548F8"/>
    <w:rsid w:val="00A56F9B"/>
    <w:rsid w:val="00A6586C"/>
    <w:rsid w:val="00A662B3"/>
    <w:rsid w:val="00A678BF"/>
    <w:rsid w:val="00A748A4"/>
    <w:rsid w:val="00A749FD"/>
    <w:rsid w:val="00A765D5"/>
    <w:rsid w:val="00A76DCC"/>
    <w:rsid w:val="00A80816"/>
    <w:rsid w:val="00A81657"/>
    <w:rsid w:val="00A8205A"/>
    <w:rsid w:val="00A85F73"/>
    <w:rsid w:val="00A87B89"/>
    <w:rsid w:val="00A93BD2"/>
    <w:rsid w:val="00A93E0B"/>
    <w:rsid w:val="00A95253"/>
    <w:rsid w:val="00AA0F46"/>
    <w:rsid w:val="00AA1D32"/>
    <w:rsid w:val="00AA246D"/>
    <w:rsid w:val="00AA2DFC"/>
    <w:rsid w:val="00AA3078"/>
    <w:rsid w:val="00AA32C5"/>
    <w:rsid w:val="00AA3953"/>
    <w:rsid w:val="00AA52F3"/>
    <w:rsid w:val="00AB030B"/>
    <w:rsid w:val="00AB07C1"/>
    <w:rsid w:val="00AB5703"/>
    <w:rsid w:val="00AB774E"/>
    <w:rsid w:val="00AB7E7E"/>
    <w:rsid w:val="00AC0854"/>
    <w:rsid w:val="00AC4F14"/>
    <w:rsid w:val="00AC6188"/>
    <w:rsid w:val="00AD4754"/>
    <w:rsid w:val="00AD7F86"/>
    <w:rsid w:val="00AE4785"/>
    <w:rsid w:val="00AE7D19"/>
    <w:rsid w:val="00AF19ED"/>
    <w:rsid w:val="00AF3032"/>
    <w:rsid w:val="00AF4984"/>
    <w:rsid w:val="00B015ED"/>
    <w:rsid w:val="00B051BB"/>
    <w:rsid w:val="00B1393C"/>
    <w:rsid w:val="00B30809"/>
    <w:rsid w:val="00B34C94"/>
    <w:rsid w:val="00B41C91"/>
    <w:rsid w:val="00B4545A"/>
    <w:rsid w:val="00B51404"/>
    <w:rsid w:val="00B567F9"/>
    <w:rsid w:val="00B6127C"/>
    <w:rsid w:val="00B63E92"/>
    <w:rsid w:val="00B66208"/>
    <w:rsid w:val="00B668D5"/>
    <w:rsid w:val="00B74FF7"/>
    <w:rsid w:val="00B814F3"/>
    <w:rsid w:val="00B834BA"/>
    <w:rsid w:val="00B86EA1"/>
    <w:rsid w:val="00B9122C"/>
    <w:rsid w:val="00B925C2"/>
    <w:rsid w:val="00B9493D"/>
    <w:rsid w:val="00B94BAB"/>
    <w:rsid w:val="00B968FF"/>
    <w:rsid w:val="00B9788C"/>
    <w:rsid w:val="00BA4D95"/>
    <w:rsid w:val="00BA5C43"/>
    <w:rsid w:val="00BA6D20"/>
    <w:rsid w:val="00BA6F92"/>
    <w:rsid w:val="00BB0754"/>
    <w:rsid w:val="00BB09FC"/>
    <w:rsid w:val="00BB1E60"/>
    <w:rsid w:val="00BB41EB"/>
    <w:rsid w:val="00BB5DE5"/>
    <w:rsid w:val="00BC1EB1"/>
    <w:rsid w:val="00BD1786"/>
    <w:rsid w:val="00BD5B5F"/>
    <w:rsid w:val="00BE62A3"/>
    <w:rsid w:val="00BF1165"/>
    <w:rsid w:val="00BF3A51"/>
    <w:rsid w:val="00BF555D"/>
    <w:rsid w:val="00BF6152"/>
    <w:rsid w:val="00BF751F"/>
    <w:rsid w:val="00C019D2"/>
    <w:rsid w:val="00C079E3"/>
    <w:rsid w:val="00C13995"/>
    <w:rsid w:val="00C13F84"/>
    <w:rsid w:val="00C14A06"/>
    <w:rsid w:val="00C17548"/>
    <w:rsid w:val="00C200E3"/>
    <w:rsid w:val="00C2010E"/>
    <w:rsid w:val="00C22A7B"/>
    <w:rsid w:val="00C246C9"/>
    <w:rsid w:val="00C275C6"/>
    <w:rsid w:val="00C32241"/>
    <w:rsid w:val="00C32EFE"/>
    <w:rsid w:val="00C35CBC"/>
    <w:rsid w:val="00C37923"/>
    <w:rsid w:val="00C55421"/>
    <w:rsid w:val="00C76350"/>
    <w:rsid w:val="00C83F5A"/>
    <w:rsid w:val="00C94DB2"/>
    <w:rsid w:val="00CA4F11"/>
    <w:rsid w:val="00CA5300"/>
    <w:rsid w:val="00CA6E06"/>
    <w:rsid w:val="00CB0745"/>
    <w:rsid w:val="00CB091B"/>
    <w:rsid w:val="00CB0DD4"/>
    <w:rsid w:val="00CC29A9"/>
    <w:rsid w:val="00CC4685"/>
    <w:rsid w:val="00CC61B1"/>
    <w:rsid w:val="00CD0B02"/>
    <w:rsid w:val="00CE468B"/>
    <w:rsid w:val="00CE5C6B"/>
    <w:rsid w:val="00CF25A8"/>
    <w:rsid w:val="00CF29B8"/>
    <w:rsid w:val="00CF3FF2"/>
    <w:rsid w:val="00D0582B"/>
    <w:rsid w:val="00D068D2"/>
    <w:rsid w:val="00D102F6"/>
    <w:rsid w:val="00D12E3F"/>
    <w:rsid w:val="00D2049E"/>
    <w:rsid w:val="00D21F10"/>
    <w:rsid w:val="00D26242"/>
    <w:rsid w:val="00D301D3"/>
    <w:rsid w:val="00D408EA"/>
    <w:rsid w:val="00D41518"/>
    <w:rsid w:val="00D44678"/>
    <w:rsid w:val="00D466DB"/>
    <w:rsid w:val="00D50222"/>
    <w:rsid w:val="00D51609"/>
    <w:rsid w:val="00D54894"/>
    <w:rsid w:val="00D62C95"/>
    <w:rsid w:val="00D62E8D"/>
    <w:rsid w:val="00D63B32"/>
    <w:rsid w:val="00D71263"/>
    <w:rsid w:val="00D736DF"/>
    <w:rsid w:val="00D76EE4"/>
    <w:rsid w:val="00D84B25"/>
    <w:rsid w:val="00D851C9"/>
    <w:rsid w:val="00D85AF9"/>
    <w:rsid w:val="00D90525"/>
    <w:rsid w:val="00DA1617"/>
    <w:rsid w:val="00DB072B"/>
    <w:rsid w:val="00DB1CDA"/>
    <w:rsid w:val="00DB45EC"/>
    <w:rsid w:val="00DB48B1"/>
    <w:rsid w:val="00DB7D37"/>
    <w:rsid w:val="00DC41E8"/>
    <w:rsid w:val="00DC628D"/>
    <w:rsid w:val="00DD2ABD"/>
    <w:rsid w:val="00DE426F"/>
    <w:rsid w:val="00DE7DEA"/>
    <w:rsid w:val="00DF0816"/>
    <w:rsid w:val="00DF1F72"/>
    <w:rsid w:val="00DF4A8E"/>
    <w:rsid w:val="00DF7E29"/>
    <w:rsid w:val="00E0010C"/>
    <w:rsid w:val="00E00259"/>
    <w:rsid w:val="00E0136E"/>
    <w:rsid w:val="00E02D20"/>
    <w:rsid w:val="00E04EE2"/>
    <w:rsid w:val="00E06600"/>
    <w:rsid w:val="00E13267"/>
    <w:rsid w:val="00E138B0"/>
    <w:rsid w:val="00E15964"/>
    <w:rsid w:val="00E166A8"/>
    <w:rsid w:val="00E167AC"/>
    <w:rsid w:val="00E16852"/>
    <w:rsid w:val="00E20329"/>
    <w:rsid w:val="00E22209"/>
    <w:rsid w:val="00E229C9"/>
    <w:rsid w:val="00E23A05"/>
    <w:rsid w:val="00E3131B"/>
    <w:rsid w:val="00E32FCE"/>
    <w:rsid w:val="00E33FBE"/>
    <w:rsid w:val="00E37023"/>
    <w:rsid w:val="00E4227F"/>
    <w:rsid w:val="00E431AF"/>
    <w:rsid w:val="00E50AF7"/>
    <w:rsid w:val="00E53999"/>
    <w:rsid w:val="00E56924"/>
    <w:rsid w:val="00E618A7"/>
    <w:rsid w:val="00E74BC5"/>
    <w:rsid w:val="00E800D6"/>
    <w:rsid w:val="00E90519"/>
    <w:rsid w:val="00E91C64"/>
    <w:rsid w:val="00E9326B"/>
    <w:rsid w:val="00EA17C4"/>
    <w:rsid w:val="00EA2A63"/>
    <w:rsid w:val="00EB10D6"/>
    <w:rsid w:val="00EB7373"/>
    <w:rsid w:val="00EC4EFD"/>
    <w:rsid w:val="00EC6CA7"/>
    <w:rsid w:val="00ED02FB"/>
    <w:rsid w:val="00ED3948"/>
    <w:rsid w:val="00ED3D4E"/>
    <w:rsid w:val="00EE4514"/>
    <w:rsid w:val="00EE6EC6"/>
    <w:rsid w:val="00EF558E"/>
    <w:rsid w:val="00EF75CA"/>
    <w:rsid w:val="00F00040"/>
    <w:rsid w:val="00F00965"/>
    <w:rsid w:val="00F00E32"/>
    <w:rsid w:val="00F07307"/>
    <w:rsid w:val="00F1408D"/>
    <w:rsid w:val="00F14EDE"/>
    <w:rsid w:val="00F227E4"/>
    <w:rsid w:val="00F22BB9"/>
    <w:rsid w:val="00F23760"/>
    <w:rsid w:val="00F26FE4"/>
    <w:rsid w:val="00F301E6"/>
    <w:rsid w:val="00F3092F"/>
    <w:rsid w:val="00F321C3"/>
    <w:rsid w:val="00F32288"/>
    <w:rsid w:val="00F34C54"/>
    <w:rsid w:val="00F374DC"/>
    <w:rsid w:val="00F462F5"/>
    <w:rsid w:val="00F576A4"/>
    <w:rsid w:val="00F61E7D"/>
    <w:rsid w:val="00F6388C"/>
    <w:rsid w:val="00F6631A"/>
    <w:rsid w:val="00F66686"/>
    <w:rsid w:val="00F6786D"/>
    <w:rsid w:val="00F702EA"/>
    <w:rsid w:val="00F70A4E"/>
    <w:rsid w:val="00F71959"/>
    <w:rsid w:val="00F77FB6"/>
    <w:rsid w:val="00F84E90"/>
    <w:rsid w:val="00F86723"/>
    <w:rsid w:val="00F878D3"/>
    <w:rsid w:val="00F94A2A"/>
    <w:rsid w:val="00F9666B"/>
    <w:rsid w:val="00F9737A"/>
    <w:rsid w:val="00FA2EA7"/>
    <w:rsid w:val="00FA3760"/>
    <w:rsid w:val="00FA60CE"/>
    <w:rsid w:val="00FB04FA"/>
    <w:rsid w:val="00FB1D2C"/>
    <w:rsid w:val="00FB1D5D"/>
    <w:rsid w:val="00FC6EE7"/>
    <w:rsid w:val="00FC735A"/>
    <w:rsid w:val="00FD37E7"/>
    <w:rsid w:val="00FD3D17"/>
    <w:rsid w:val="00FD4878"/>
    <w:rsid w:val="00FD6C32"/>
    <w:rsid w:val="00FE39B4"/>
    <w:rsid w:val="00FF6E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D147FF0-537D-4CB1-A995-E03F6800F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8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D7A05"/>
  </w:style>
  <w:style w:type="table" w:styleId="TableGrid">
    <w:name w:val="Table Grid"/>
    <w:basedOn w:val="TableNormal"/>
    <w:rsid w:val="004D7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basedOn w:val="Normal"/>
    <w:rsid w:val="00F71959"/>
    <w:pPr>
      <w:spacing w:after="160" w:line="240" w:lineRule="exact"/>
    </w:pPr>
    <w:rPr>
      <w:rFonts w:ascii="Tahoma" w:hAnsi="Tahoma" w:cs="Tahoma"/>
      <w:sz w:val="20"/>
      <w:szCs w:val="20"/>
    </w:rPr>
  </w:style>
  <w:style w:type="paragraph" w:styleId="Footer">
    <w:name w:val="footer"/>
    <w:basedOn w:val="Normal"/>
    <w:link w:val="FooterChar"/>
    <w:uiPriority w:val="99"/>
    <w:rsid w:val="00853442"/>
    <w:pPr>
      <w:tabs>
        <w:tab w:val="center" w:pos="4320"/>
        <w:tab w:val="right" w:pos="8640"/>
      </w:tabs>
    </w:pPr>
  </w:style>
  <w:style w:type="character" w:styleId="PageNumber">
    <w:name w:val="page number"/>
    <w:basedOn w:val="DefaultParagraphFont"/>
    <w:rsid w:val="00853442"/>
  </w:style>
  <w:style w:type="paragraph" w:styleId="Header">
    <w:name w:val="header"/>
    <w:basedOn w:val="Normal"/>
    <w:rsid w:val="00853442"/>
    <w:pPr>
      <w:tabs>
        <w:tab w:val="center" w:pos="4320"/>
        <w:tab w:val="right" w:pos="8640"/>
      </w:tabs>
    </w:pPr>
  </w:style>
  <w:style w:type="paragraph" w:customStyle="1" w:styleId="CharCharChar">
    <w:name w:val="Char Char Char"/>
    <w:basedOn w:val="Normal"/>
    <w:next w:val="Normal"/>
    <w:autoRedefine/>
    <w:semiHidden/>
    <w:rsid w:val="008220BD"/>
    <w:pPr>
      <w:spacing w:before="120" w:after="120" w:line="312" w:lineRule="auto"/>
    </w:pPr>
    <w:rPr>
      <w:sz w:val="28"/>
      <w:szCs w:val="28"/>
    </w:rPr>
  </w:style>
  <w:style w:type="paragraph" w:styleId="NormalWeb">
    <w:name w:val="Normal (Web)"/>
    <w:basedOn w:val="Normal"/>
    <w:uiPriority w:val="99"/>
    <w:unhideWhenUsed/>
    <w:rsid w:val="006E268B"/>
    <w:pPr>
      <w:spacing w:before="100" w:beforeAutospacing="1" w:after="100" w:afterAutospacing="1"/>
    </w:pPr>
  </w:style>
  <w:style w:type="character" w:styleId="Hyperlink">
    <w:name w:val="Hyperlink"/>
    <w:uiPriority w:val="99"/>
    <w:unhideWhenUsed/>
    <w:rsid w:val="008053DA"/>
    <w:rPr>
      <w:color w:val="0000FF"/>
      <w:u w:val="single"/>
    </w:rPr>
  </w:style>
  <w:style w:type="character" w:customStyle="1" w:styleId="FooterChar">
    <w:name w:val="Footer Char"/>
    <w:basedOn w:val="DefaultParagraphFont"/>
    <w:link w:val="Footer"/>
    <w:uiPriority w:val="99"/>
    <w:rsid w:val="006B61E4"/>
    <w:rPr>
      <w:sz w:val="24"/>
      <w:szCs w:val="24"/>
    </w:rPr>
  </w:style>
  <w:style w:type="paragraph" w:styleId="BalloonText">
    <w:name w:val="Balloon Text"/>
    <w:basedOn w:val="Normal"/>
    <w:link w:val="BalloonTextChar"/>
    <w:rsid w:val="008D498C"/>
    <w:rPr>
      <w:rFonts w:ascii="Segoe UI" w:hAnsi="Segoe UI" w:cs="Segoe UI"/>
      <w:sz w:val="18"/>
      <w:szCs w:val="18"/>
    </w:rPr>
  </w:style>
  <w:style w:type="character" w:customStyle="1" w:styleId="BalloonTextChar">
    <w:name w:val="Balloon Text Char"/>
    <w:basedOn w:val="DefaultParagraphFont"/>
    <w:link w:val="BalloonText"/>
    <w:rsid w:val="008D498C"/>
    <w:rPr>
      <w:rFonts w:ascii="Segoe UI" w:hAnsi="Segoe UI" w:cs="Segoe UI"/>
      <w:sz w:val="18"/>
      <w:szCs w:val="18"/>
    </w:rPr>
  </w:style>
  <w:style w:type="paragraph" w:styleId="ListParagraph">
    <w:name w:val="List Paragraph"/>
    <w:basedOn w:val="Normal"/>
    <w:uiPriority w:val="34"/>
    <w:qFormat/>
    <w:rsid w:val="00A95253"/>
    <w:pPr>
      <w:ind w:left="720"/>
      <w:contextualSpacing/>
    </w:pPr>
  </w:style>
  <w:style w:type="character" w:customStyle="1" w:styleId="fontstyle01">
    <w:name w:val="fontstyle01"/>
    <w:basedOn w:val="DefaultParagraphFont"/>
    <w:rsid w:val="00CB091B"/>
    <w:rPr>
      <w:rFonts w:ascii="Times New Roman" w:hAnsi="Times New Roman" w:cs="Times New Roman" w:hint="default"/>
      <w:b w:val="0"/>
      <w:bCs w:val="0"/>
      <w:i/>
      <w:iCs/>
      <w:color w:val="000000"/>
      <w:sz w:val="28"/>
      <w:szCs w:val="28"/>
    </w:rPr>
  </w:style>
  <w:style w:type="character" w:styleId="Emphasis">
    <w:name w:val="Emphasis"/>
    <w:uiPriority w:val="20"/>
    <w:qFormat/>
    <w:rsid w:val="0006242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A6CDC-EC38-428D-BD63-0F5F47A81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1087</Words>
  <Characters>6202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ỦY BAN NHÂN DÂN</vt:lpstr>
    </vt:vector>
  </TitlesOfParts>
  <Company>Office</Company>
  <LinksUpToDate>false</LinksUpToDate>
  <CharactersWithSpaces>7275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subject/>
  <dc:creator>User</dc:creator>
  <cp:keywords/>
  <dc:description/>
  <cp:lastModifiedBy>MANH TUNG</cp:lastModifiedBy>
  <cp:revision>41</cp:revision>
  <cp:lastPrinted>2024-10-29T01:28:00Z</cp:lastPrinted>
  <dcterms:created xsi:type="dcterms:W3CDTF">2024-10-14T06:35:00Z</dcterms:created>
  <dcterms:modified xsi:type="dcterms:W3CDTF">2024-10-29T01:28:00Z</dcterms:modified>
</cp:coreProperties>
</file>